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2F8D" w14:textId="77777777" w:rsidR="002818D5" w:rsidRDefault="002818D5" w:rsidP="0058508B">
      <w:pPr>
        <w:jc w:val="center"/>
        <w:rPr>
          <w:rFonts w:ascii="Times New Roman" w:hAnsi="Times New Roman"/>
          <w:b/>
          <w:sz w:val="24"/>
          <w:szCs w:val="24"/>
        </w:rPr>
      </w:pPr>
      <w:r w:rsidRPr="0058508B">
        <w:rPr>
          <w:rFonts w:ascii="Times New Roman" w:hAnsi="Times New Roman"/>
          <w:b/>
          <w:sz w:val="24"/>
          <w:szCs w:val="24"/>
        </w:rPr>
        <w:t>Measurement of Background Radiation at some Mechanical Workshop within Zaria Metropolis, Kaduna State, Nigeria</w:t>
      </w:r>
    </w:p>
    <w:p w14:paraId="70E5A2BB" w14:textId="77777777" w:rsidR="0058508B" w:rsidRDefault="0058508B" w:rsidP="0058508B">
      <w:pPr>
        <w:jc w:val="center"/>
        <w:rPr>
          <w:rFonts w:ascii="Times New Roman" w:hAnsi="Times New Roman"/>
          <w:b/>
          <w:sz w:val="24"/>
          <w:szCs w:val="24"/>
        </w:rPr>
      </w:pPr>
    </w:p>
    <w:p w14:paraId="18AFA877" w14:textId="77777777" w:rsidR="0058508B" w:rsidRPr="0058508B" w:rsidRDefault="0058508B" w:rsidP="0058508B">
      <w:pPr>
        <w:jc w:val="center"/>
        <w:rPr>
          <w:rFonts w:ascii="Times New Roman" w:hAnsi="Times New Roman"/>
          <w:b/>
          <w:sz w:val="24"/>
          <w:szCs w:val="24"/>
        </w:rPr>
      </w:pPr>
    </w:p>
    <w:p w14:paraId="51B60CF5" w14:textId="5BEA3944" w:rsidR="0058508B" w:rsidRPr="0058508B" w:rsidRDefault="0058508B" w:rsidP="0058508B">
      <w:pPr>
        <w:spacing w:line="360" w:lineRule="auto"/>
        <w:jc w:val="center"/>
        <w:rPr>
          <w:rFonts w:ascii="Times New Roman" w:hAnsi="Times New Roman"/>
          <w:bCs/>
          <w:color w:val="000000" w:themeColor="text1"/>
          <w:sz w:val="24"/>
          <w:szCs w:val="24"/>
        </w:rPr>
      </w:pPr>
      <w:r w:rsidRPr="0058508B">
        <w:rPr>
          <w:rFonts w:ascii="Times New Roman" w:hAnsi="Times New Roman"/>
          <w:b/>
          <w:bCs/>
          <w:color w:val="000000" w:themeColor="text1"/>
          <w:sz w:val="24"/>
          <w:szCs w:val="24"/>
          <w:vertAlign w:val="superscript"/>
          <w:lang w:bidi="en-US"/>
        </w:rPr>
        <w:t>1</w:t>
      </w:r>
      <w:r w:rsidRPr="0058508B">
        <w:rPr>
          <w:rFonts w:ascii="Times New Roman" w:hAnsi="Times New Roman"/>
          <w:b/>
          <w:bCs/>
          <w:color w:val="000000" w:themeColor="text1"/>
          <w:sz w:val="24"/>
          <w:szCs w:val="24"/>
          <w:lang w:bidi="en-US"/>
        </w:rPr>
        <w:t xml:space="preserve">Tijjani F. S. </w:t>
      </w:r>
      <w:r w:rsidR="00D00384" w:rsidRPr="00C61A49">
        <w:rPr>
          <w:rFonts w:ascii="Times New Roman" w:hAnsi="Times New Roman"/>
          <w:b/>
          <w:bCs/>
          <w:color w:val="000000" w:themeColor="text1"/>
          <w:sz w:val="24"/>
          <w:szCs w:val="24"/>
          <w:vertAlign w:val="superscript"/>
          <w:lang w:bidi="en-US"/>
        </w:rPr>
        <w:t>1</w:t>
      </w:r>
      <w:r w:rsidR="001F451A">
        <w:rPr>
          <w:rFonts w:ascii="Times New Roman" w:hAnsi="Times New Roman"/>
          <w:b/>
          <w:bCs/>
          <w:color w:val="000000" w:themeColor="text1"/>
          <w:sz w:val="24"/>
          <w:szCs w:val="24"/>
          <w:lang w:bidi="en-US"/>
        </w:rPr>
        <w:t xml:space="preserve">Garba, N.N., </w:t>
      </w:r>
      <w:r w:rsidRPr="0058508B">
        <w:rPr>
          <w:rFonts w:ascii="Times New Roman" w:hAnsi="Times New Roman"/>
          <w:b/>
          <w:bCs/>
          <w:color w:val="000000" w:themeColor="text1"/>
          <w:sz w:val="24"/>
          <w:szCs w:val="24"/>
        </w:rPr>
        <w:t xml:space="preserve"> </w:t>
      </w:r>
      <w:r w:rsidR="006B215E">
        <w:rPr>
          <w:rFonts w:ascii="Times New Roman" w:hAnsi="Times New Roman"/>
          <w:b/>
          <w:bCs/>
          <w:color w:val="000000" w:themeColor="text1"/>
          <w:sz w:val="24"/>
          <w:szCs w:val="24"/>
        </w:rPr>
        <w:t>¹</w:t>
      </w:r>
      <w:r w:rsidR="00424AF9">
        <w:rPr>
          <w:rFonts w:ascii="Times New Roman" w:hAnsi="Times New Roman"/>
          <w:b/>
          <w:bCs/>
          <w:color w:val="000000" w:themeColor="text1"/>
          <w:sz w:val="24"/>
          <w:szCs w:val="24"/>
        </w:rPr>
        <w:t xml:space="preserve">Kankara. U. M., </w:t>
      </w:r>
      <w:r w:rsidR="00432F40">
        <w:rPr>
          <w:rFonts w:ascii="Times New Roman" w:hAnsi="Times New Roman"/>
          <w:b/>
          <w:bCs/>
          <w:color w:val="000000" w:themeColor="text1"/>
          <w:sz w:val="24"/>
          <w:szCs w:val="24"/>
        </w:rPr>
        <w:t>¹</w:t>
      </w:r>
      <w:r w:rsidR="006B215E">
        <w:rPr>
          <w:rFonts w:ascii="Times New Roman" w:hAnsi="Times New Roman"/>
          <w:b/>
          <w:bCs/>
          <w:color w:val="000000" w:themeColor="text1"/>
          <w:sz w:val="24"/>
          <w:szCs w:val="24"/>
        </w:rPr>
        <w:t xml:space="preserve">Musa. </w:t>
      </w:r>
      <w:r w:rsidR="003417BD">
        <w:rPr>
          <w:rFonts w:ascii="Times New Roman" w:hAnsi="Times New Roman"/>
          <w:b/>
          <w:bCs/>
          <w:color w:val="000000" w:themeColor="text1"/>
          <w:sz w:val="24"/>
          <w:szCs w:val="24"/>
        </w:rPr>
        <w:t>J.</w:t>
      </w:r>
      <w:r w:rsidR="006B215E">
        <w:rPr>
          <w:rFonts w:ascii="Times New Roman" w:hAnsi="Times New Roman"/>
          <w:b/>
          <w:bCs/>
          <w:color w:val="000000" w:themeColor="text1"/>
          <w:sz w:val="24"/>
          <w:szCs w:val="24"/>
        </w:rPr>
        <w:t>,</w:t>
      </w:r>
      <w:r w:rsidR="003F6460">
        <w:rPr>
          <w:rFonts w:ascii="Times New Roman" w:hAnsi="Times New Roman"/>
          <w:b/>
          <w:bCs/>
          <w:color w:val="000000" w:themeColor="text1"/>
          <w:sz w:val="24"/>
          <w:szCs w:val="24"/>
        </w:rPr>
        <w:t xml:space="preserve"> </w:t>
      </w:r>
      <w:r w:rsidRPr="0058508B">
        <w:rPr>
          <w:rFonts w:ascii="Times New Roman" w:hAnsi="Times New Roman"/>
          <w:b/>
          <w:bCs/>
          <w:color w:val="000000" w:themeColor="text1"/>
          <w:sz w:val="24"/>
          <w:szCs w:val="24"/>
          <w:vertAlign w:val="superscript"/>
        </w:rPr>
        <w:t>1</w:t>
      </w:r>
      <w:r w:rsidRPr="0058508B">
        <w:rPr>
          <w:rFonts w:ascii="Times New Roman" w:hAnsi="Times New Roman"/>
          <w:b/>
          <w:bCs/>
          <w:color w:val="000000" w:themeColor="text1"/>
          <w:sz w:val="24"/>
          <w:szCs w:val="24"/>
        </w:rPr>
        <w:t xml:space="preserve">Vatsa, M.A., and </w:t>
      </w:r>
      <w:r w:rsidRPr="0058508B">
        <w:rPr>
          <w:rFonts w:ascii="Times New Roman" w:hAnsi="Times New Roman"/>
          <w:b/>
          <w:bCs/>
          <w:color w:val="000000" w:themeColor="text1"/>
          <w:sz w:val="24"/>
          <w:szCs w:val="24"/>
          <w:vertAlign w:val="superscript"/>
        </w:rPr>
        <w:t>1,2</w:t>
      </w:r>
      <w:r w:rsidRPr="0058508B">
        <w:rPr>
          <w:rFonts w:ascii="Times New Roman" w:hAnsi="Times New Roman"/>
          <w:b/>
          <w:bCs/>
          <w:color w:val="000000" w:themeColor="text1"/>
          <w:sz w:val="24"/>
          <w:szCs w:val="24"/>
        </w:rPr>
        <w:t xml:space="preserve">Bello, I.A.,  </w:t>
      </w:r>
    </w:p>
    <w:p w14:paraId="5A3D2D6F" w14:textId="07FBFBBB" w:rsidR="0058508B" w:rsidRPr="0058508B" w:rsidRDefault="0058508B" w:rsidP="0058508B">
      <w:pPr>
        <w:ind w:left="720"/>
        <w:jc w:val="center"/>
        <w:rPr>
          <w:rFonts w:ascii="Times New Roman" w:hAnsi="Times New Roman"/>
          <w:bCs/>
          <w:color w:val="231F20"/>
          <w:sz w:val="24"/>
          <w:szCs w:val="24"/>
        </w:rPr>
      </w:pPr>
      <w:r w:rsidRPr="0058508B">
        <w:rPr>
          <w:rFonts w:ascii="Times New Roman" w:hAnsi="Times New Roman"/>
          <w:bCs/>
          <w:color w:val="000000" w:themeColor="text1"/>
          <w:sz w:val="24"/>
          <w:szCs w:val="24"/>
          <w:vertAlign w:val="superscript"/>
        </w:rPr>
        <w:t>1</w:t>
      </w:r>
      <w:r w:rsidRPr="0058508B">
        <w:rPr>
          <w:rFonts w:ascii="Times New Roman" w:hAnsi="Times New Roman"/>
          <w:bCs/>
          <w:color w:val="000000" w:themeColor="text1"/>
          <w:sz w:val="24"/>
          <w:szCs w:val="24"/>
        </w:rPr>
        <w:t xml:space="preserve">Department of Physics, Ahmadu Bello University, Zaria, </w:t>
      </w:r>
      <w:r w:rsidRPr="0058508B">
        <w:rPr>
          <w:rFonts w:ascii="Times New Roman" w:hAnsi="Times New Roman"/>
          <w:bCs/>
          <w:color w:val="231F20"/>
          <w:sz w:val="24"/>
          <w:szCs w:val="24"/>
        </w:rPr>
        <w:t>Nigeria</w:t>
      </w:r>
    </w:p>
    <w:p w14:paraId="4A0768C1" w14:textId="77777777" w:rsidR="0058508B" w:rsidRPr="0058508B" w:rsidRDefault="0058508B" w:rsidP="0058508B">
      <w:pPr>
        <w:ind w:left="720"/>
        <w:jc w:val="center"/>
        <w:rPr>
          <w:rFonts w:ascii="Times New Roman" w:hAnsi="Times New Roman"/>
          <w:bCs/>
          <w:color w:val="231F20"/>
          <w:sz w:val="24"/>
          <w:szCs w:val="24"/>
        </w:rPr>
      </w:pPr>
      <w:r w:rsidRPr="0058508B">
        <w:rPr>
          <w:rFonts w:ascii="Times New Roman" w:hAnsi="Times New Roman"/>
          <w:bCs/>
          <w:color w:val="000000" w:themeColor="text1"/>
          <w:sz w:val="24"/>
          <w:szCs w:val="24"/>
          <w:vertAlign w:val="superscript"/>
        </w:rPr>
        <w:t>2</w:t>
      </w:r>
      <w:r w:rsidRPr="0058508B">
        <w:rPr>
          <w:rFonts w:ascii="Times New Roman" w:hAnsi="Times New Roman"/>
          <w:bCs/>
          <w:color w:val="000000" w:themeColor="text1"/>
          <w:sz w:val="24"/>
          <w:szCs w:val="24"/>
        </w:rPr>
        <w:t xml:space="preserve">Division of Agricultural Colleges, Ahmadu Bello University, Zaria, </w:t>
      </w:r>
      <w:r w:rsidRPr="0058508B">
        <w:rPr>
          <w:rFonts w:ascii="Times New Roman" w:hAnsi="Times New Roman"/>
          <w:bCs/>
          <w:color w:val="231F20"/>
          <w:sz w:val="24"/>
          <w:szCs w:val="24"/>
        </w:rPr>
        <w:t>Nigeria</w:t>
      </w:r>
    </w:p>
    <w:p w14:paraId="6C370AA3" w14:textId="77777777" w:rsidR="0058508B" w:rsidRDefault="0058508B" w:rsidP="0058508B">
      <w:pPr>
        <w:spacing w:line="360" w:lineRule="auto"/>
        <w:ind w:left="720"/>
        <w:jc w:val="center"/>
        <w:rPr>
          <w:rFonts w:ascii="Times New Roman" w:hAnsi="Times New Roman"/>
          <w:bCs/>
          <w:sz w:val="24"/>
          <w:szCs w:val="24"/>
        </w:rPr>
      </w:pPr>
    </w:p>
    <w:p w14:paraId="15CCCA00" w14:textId="1CCC028F" w:rsidR="0058508B" w:rsidRPr="0058508B" w:rsidRDefault="0058508B" w:rsidP="0058508B">
      <w:pPr>
        <w:jc w:val="center"/>
        <w:rPr>
          <w:rFonts w:ascii="Times New Roman" w:hAnsi="Times New Roman"/>
          <w:sz w:val="24"/>
          <w:szCs w:val="24"/>
        </w:rPr>
      </w:pPr>
      <w:r>
        <w:rPr>
          <w:rFonts w:ascii="Times New Roman" w:hAnsi="Times New Roman"/>
          <w:u w:val="single"/>
        </w:rPr>
        <w:t>Corresponding author:</w:t>
      </w:r>
      <w:r w:rsidR="004B1418">
        <w:t>shehufatimatijjani663@gmail.com</w:t>
      </w:r>
      <w:r w:rsidR="001F451A">
        <w:t xml:space="preserve">, </w:t>
      </w:r>
      <w:r>
        <w:rPr>
          <w:rFonts w:ascii="Times New Roman" w:hAnsi="Times New Roman"/>
          <w:u w:val="single"/>
        </w:rPr>
        <w:t xml:space="preserve"> +23470</w:t>
      </w:r>
      <w:r w:rsidR="00C44B1F">
        <w:rPr>
          <w:rFonts w:ascii="Times New Roman" w:hAnsi="Times New Roman"/>
          <w:u w:val="single"/>
        </w:rPr>
        <w:t>46301765</w:t>
      </w:r>
    </w:p>
    <w:p w14:paraId="502C2EAC" w14:textId="77777777" w:rsidR="0058508B" w:rsidRDefault="0058508B" w:rsidP="0058508B">
      <w:pPr>
        <w:spacing w:line="360" w:lineRule="auto"/>
        <w:ind w:left="720"/>
        <w:jc w:val="center"/>
        <w:rPr>
          <w:rFonts w:ascii="Times New Roman" w:hAnsi="Times New Roman"/>
          <w:bCs/>
        </w:rPr>
      </w:pPr>
    </w:p>
    <w:p w14:paraId="304F2152" w14:textId="77777777" w:rsidR="002818D5" w:rsidRDefault="002818D5" w:rsidP="0058508B">
      <w:pPr>
        <w:spacing w:line="480" w:lineRule="auto"/>
        <w:rPr>
          <w:rFonts w:ascii="Times New Roman" w:hAnsi="Times New Roman"/>
          <w:b/>
          <w:sz w:val="24"/>
          <w:szCs w:val="24"/>
        </w:rPr>
      </w:pPr>
      <w:r>
        <w:rPr>
          <w:rFonts w:ascii="Times New Roman" w:hAnsi="Times New Roman"/>
          <w:b/>
          <w:sz w:val="24"/>
          <w:szCs w:val="24"/>
        </w:rPr>
        <w:t>ABSTRACT</w:t>
      </w:r>
    </w:p>
    <w:p w14:paraId="23E8B557" w14:textId="50C73A70" w:rsidR="002818D5" w:rsidRPr="003434A7" w:rsidRDefault="00853582" w:rsidP="002818D5">
      <w:pPr>
        <w:pStyle w:val="toc6"/>
        <w:autoSpaceDE w:val="0"/>
        <w:autoSpaceDN w:val="0"/>
        <w:adjustRightInd w:val="0"/>
        <w:spacing w:line="360" w:lineRule="auto"/>
        <w:jc w:val="both"/>
        <w:rPr>
          <w:rFonts w:ascii="Times New Roman" w:hAnsi="Times New Roman"/>
          <w:sz w:val="24"/>
        </w:rPr>
      </w:pPr>
      <w:r w:rsidRPr="00853582">
        <w:rPr>
          <w:rFonts w:ascii="Times New Roman" w:hAnsi="Times New Roman"/>
          <w:sz w:val="24"/>
        </w:rPr>
        <w:t>This study evaluated ionizing radiation dose rates and corresponding annual effective dose (AED) levels across fifteen automobile mechanical workshops in Zaria, North-Central Nigeria. Radiation measurements were conducted using a handheld survey meter, with dose rate values ranging from 0.12 to 0.20 µSv/h. These translate into AEDs between 0.210 and 0.350 mSv/yr, with the lowest recorded at DMG, AYSG, ABEG, GMG, and OBG (0.210 mSv/yr), and the highest at AIG (0.350 mSv/yr). Comparative assessment with related studies from different regions of Nigeria indicates consistency with typical outdoor background radiation levels, all remaining well below the International Commission on Radiological Protection (ICRP) recommended public exposure limit of 1.0 mSv/yr. The relatively uniform exposure across most workshops suggests minimal radiological health risks. However, slight variations observed may be attributed to environmental factors, soil composition, and workshop activities. These findings highlight the importance of continuous monitoring for occupational safety and effective radiation protection practices.</w:t>
      </w:r>
    </w:p>
    <w:p w14:paraId="31818606" w14:textId="0F3C1AA0" w:rsidR="002818D5" w:rsidRPr="003434A7" w:rsidRDefault="002818D5" w:rsidP="00853582">
      <w:pPr>
        <w:pStyle w:val="toc6"/>
        <w:autoSpaceDE w:val="0"/>
        <w:autoSpaceDN w:val="0"/>
        <w:adjustRightInd w:val="0"/>
        <w:spacing w:line="360" w:lineRule="auto"/>
        <w:rPr>
          <w:rFonts w:ascii="Times New Roman" w:hAnsi="Times New Roman"/>
          <w:sz w:val="24"/>
        </w:rPr>
      </w:pPr>
      <w:r w:rsidRPr="00853582">
        <w:rPr>
          <w:rFonts w:ascii="Times New Roman" w:hAnsi="Times New Roman"/>
          <w:b/>
          <w:bCs/>
          <w:sz w:val="24"/>
        </w:rPr>
        <w:t>Keywords:</w:t>
      </w:r>
      <w:r w:rsidRPr="003434A7">
        <w:rPr>
          <w:rFonts w:ascii="Times New Roman" w:hAnsi="Times New Roman"/>
          <w:sz w:val="24"/>
        </w:rPr>
        <w:t xml:space="preserve"> background radiation</w:t>
      </w:r>
      <w:r>
        <w:rPr>
          <w:rFonts w:ascii="Times New Roman" w:hAnsi="Times New Roman"/>
          <w:sz w:val="24"/>
        </w:rPr>
        <w:t>,</w:t>
      </w:r>
      <w:r w:rsidRPr="003434A7">
        <w:rPr>
          <w:rFonts w:ascii="Times New Roman" w:hAnsi="Times New Roman"/>
          <w:sz w:val="24"/>
        </w:rPr>
        <w:t xml:space="preserve"> annual effective dose, </w:t>
      </w:r>
      <w:r w:rsidR="00853582" w:rsidRPr="00853582">
        <w:rPr>
          <w:rFonts w:ascii="Times New Roman" w:hAnsi="Times New Roman"/>
          <w:sz w:val="24"/>
        </w:rPr>
        <w:t>Automobile mechanical workshops</w:t>
      </w:r>
      <w:r w:rsidRPr="003434A7">
        <w:rPr>
          <w:rFonts w:ascii="Times New Roman" w:hAnsi="Times New Roman"/>
          <w:sz w:val="24"/>
        </w:rPr>
        <w:t xml:space="preserve">, </w:t>
      </w:r>
      <w:r w:rsidR="00853582" w:rsidRPr="00853582">
        <w:rPr>
          <w:rFonts w:ascii="Times New Roman" w:hAnsi="Times New Roman"/>
          <w:sz w:val="24"/>
        </w:rPr>
        <w:t>Radiation monitoring</w:t>
      </w:r>
      <w:r w:rsidRPr="003434A7">
        <w:rPr>
          <w:rFonts w:ascii="Times New Roman" w:hAnsi="Times New Roman"/>
          <w:sz w:val="24"/>
        </w:rPr>
        <w:t xml:space="preserve">. </w:t>
      </w:r>
    </w:p>
    <w:p w14:paraId="728C0CE9" w14:textId="77777777" w:rsidR="00853582" w:rsidRDefault="00853582" w:rsidP="00853582">
      <w:pPr>
        <w:pStyle w:val="toc6"/>
        <w:autoSpaceDE w:val="0"/>
        <w:autoSpaceDN w:val="0"/>
        <w:adjustRightInd w:val="0"/>
        <w:spacing w:line="360" w:lineRule="auto"/>
        <w:rPr>
          <w:rFonts w:ascii="Times New Roman" w:hAnsi="Times New Roman"/>
          <w:b/>
          <w:bCs/>
          <w:sz w:val="24"/>
        </w:rPr>
      </w:pPr>
    </w:p>
    <w:p w14:paraId="371812BF" w14:textId="256D9203" w:rsidR="002818D5" w:rsidRDefault="008B317D" w:rsidP="00853582">
      <w:pPr>
        <w:pStyle w:val="toc6"/>
        <w:autoSpaceDE w:val="0"/>
        <w:autoSpaceDN w:val="0"/>
        <w:adjustRightInd w:val="0"/>
        <w:spacing w:line="360" w:lineRule="auto"/>
        <w:rPr>
          <w:rFonts w:ascii="Times New Roman" w:hAnsi="Times New Roman"/>
          <w:b/>
          <w:bCs/>
          <w:sz w:val="24"/>
        </w:rPr>
      </w:pPr>
      <w:r>
        <w:rPr>
          <w:rFonts w:ascii="Times New Roman" w:hAnsi="Times New Roman"/>
          <w:b/>
          <w:bCs/>
          <w:sz w:val="24"/>
        </w:rPr>
        <w:t xml:space="preserve">1.0 </w:t>
      </w:r>
      <w:r w:rsidR="002818D5" w:rsidRPr="00714333">
        <w:rPr>
          <w:rFonts w:ascii="Times New Roman" w:hAnsi="Times New Roman"/>
          <w:b/>
          <w:bCs/>
          <w:sz w:val="24"/>
        </w:rPr>
        <w:t>INTRODUCTION</w:t>
      </w:r>
    </w:p>
    <w:p w14:paraId="31940985" w14:textId="30177EB4" w:rsidR="002818D5" w:rsidRPr="00874E32" w:rsidRDefault="002818D5" w:rsidP="009E7C7E">
      <w:pPr>
        <w:pStyle w:val="toc6"/>
        <w:autoSpaceDE w:val="0"/>
        <w:autoSpaceDN w:val="0"/>
        <w:adjustRightInd w:val="0"/>
        <w:spacing w:line="360" w:lineRule="auto"/>
        <w:jc w:val="both"/>
        <w:rPr>
          <w:rFonts w:ascii="Times New Roman" w:hAnsi="Times New Roman"/>
          <w:b/>
          <w:bCs/>
          <w:sz w:val="24"/>
        </w:rPr>
      </w:pPr>
      <w:r w:rsidRPr="00874E32">
        <w:rPr>
          <w:rFonts w:ascii="Times New Roman" w:hAnsi="Times New Roman"/>
          <w:sz w:val="24"/>
        </w:rPr>
        <w:t xml:space="preserve">Radiation is globally recognized for its potential harmful effects on human health, and Nigeria is not exempt from such concerns (Oyeyinka et al., 2012; Ford, 2004). Human beings are exposed to radiation from both natural and artificial sources. Natural sources include primordial radionuclides such as uranium </w:t>
      </w:r>
      <w:r w:rsidRPr="00874E32">
        <w:rPr>
          <w:rFonts w:ascii="Times New Roman" w:hAnsi="Times New Roman"/>
          <w:sz w:val="24"/>
          <w:vertAlign w:val="superscript"/>
        </w:rPr>
        <w:t>238</w:t>
      </w:r>
      <w:r w:rsidRPr="00874E32">
        <w:rPr>
          <w:rFonts w:ascii="Times New Roman" w:hAnsi="Times New Roman"/>
          <w:sz w:val="24"/>
        </w:rPr>
        <w:t xml:space="preserve">U, thorium </w:t>
      </w:r>
      <w:r w:rsidRPr="00874E32">
        <w:rPr>
          <w:rFonts w:ascii="Times New Roman" w:hAnsi="Times New Roman"/>
          <w:sz w:val="24"/>
          <w:vertAlign w:val="superscript"/>
        </w:rPr>
        <w:t>232</w:t>
      </w:r>
      <w:r w:rsidRPr="00874E32">
        <w:rPr>
          <w:rFonts w:ascii="Times New Roman" w:hAnsi="Times New Roman"/>
          <w:sz w:val="24"/>
        </w:rPr>
        <w:t xml:space="preserve">Th, and potassium </w:t>
      </w:r>
      <w:r w:rsidRPr="00874E32">
        <w:rPr>
          <w:rFonts w:ascii="Times New Roman" w:hAnsi="Times New Roman"/>
          <w:sz w:val="24"/>
          <w:vertAlign w:val="superscript"/>
        </w:rPr>
        <w:t>40</w:t>
      </w:r>
      <w:r w:rsidRPr="00874E32">
        <w:rPr>
          <w:rFonts w:ascii="Times New Roman" w:hAnsi="Times New Roman"/>
          <w:sz w:val="24"/>
        </w:rPr>
        <w:t xml:space="preserve">K, while artificial radionuclides such as cesium </w:t>
      </w:r>
      <w:r w:rsidRPr="00874E32">
        <w:rPr>
          <w:rFonts w:ascii="Times New Roman" w:hAnsi="Times New Roman"/>
          <w:sz w:val="24"/>
          <w:vertAlign w:val="superscript"/>
        </w:rPr>
        <w:t>137</w:t>
      </w:r>
      <w:r w:rsidRPr="00874E32">
        <w:rPr>
          <w:rFonts w:ascii="Times New Roman" w:hAnsi="Times New Roman"/>
          <w:sz w:val="24"/>
        </w:rPr>
        <w:t xml:space="preserve">Cs and strontium </w:t>
      </w:r>
      <w:r w:rsidRPr="00874E32">
        <w:rPr>
          <w:rFonts w:ascii="Times New Roman" w:hAnsi="Times New Roman"/>
          <w:sz w:val="24"/>
          <w:vertAlign w:val="superscript"/>
        </w:rPr>
        <w:t>90</w:t>
      </w:r>
      <w:r w:rsidRPr="00874E32">
        <w:rPr>
          <w:rFonts w:ascii="Times New Roman" w:hAnsi="Times New Roman"/>
          <w:sz w:val="24"/>
        </w:rPr>
        <w:t xml:space="preserve">Sr originate from anthropogenic activities including industrial processes and nuclear technology (Avwiri et al., 2010). Unlike non-ionizing forms of environmental radiation such as heat, ionizing radiation has sufficient energy to ionize atoms and molecules, potentially causing DNA damage and cellular dysfunction </w:t>
      </w:r>
      <w:r w:rsidRPr="00874E32">
        <w:rPr>
          <w:rFonts w:ascii="Times New Roman" w:hAnsi="Times New Roman"/>
          <w:sz w:val="24"/>
        </w:rPr>
        <w:lastRenderedPageBreak/>
        <w:t>(Haider &amp; Mahmood, 2015; Turner, 2007). The extent of injury depends on radiation type (α, β, γ), energy, dose, exposure time, and the degree of shielding (ICRP, 1991).</w:t>
      </w:r>
    </w:p>
    <w:p w14:paraId="173E0EE2" w14:textId="48AAFB98" w:rsidR="002818D5" w:rsidRPr="00874E32" w:rsidRDefault="002818D5" w:rsidP="009E7C7E">
      <w:pPr>
        <w:pStyle w:val="toc6"/>
        <w:autoSpaceDE w:val="0"/>
        <w:autoSpaceDN w:val="0"/>
        <w:adjustRightInd w:val="0"/>
        <w:spacing w:line="360" w:lineRule="auto"/>
        <w:jc w:val="both"/>
        <w:rPr>
          <w:rFonts w:ascii="Times New Roman" w:hAnsi="Times New Roman"/>
          <w:sz w:val="24"/>
        </w:rPr>
      </w:pPr>
      <w:r w:rsidRPr="00874E32">
        <w:rPr>
          <w:rFonts w:ascii="Times New Roman" w:hAnsi="Times New Roman"/>
          <w:sz w:val="24"/>
        </w:rPr>
        <w:t xml:space="preserve">Although the biological risks associated with low-level radiation remain an area of scientific debate, exposure is inevitable through cosmic rays, terrestrial radiation, medical applications, and radionuclides within food and air such as </w:t>
      </w:r>
      <w:r w:rsidRPr="00874E32">
        <w:rPr>
          <w:rFonts w:ascii="Times New Roman" w:hAnsi="Times New Roman"/>
          <w:sz w:val="24"/>
          <w:vertAlign w:val="superscript"/>
        </w:rPr>
        <w:t>3</w:t>
      </w:r>
      <w:r w:rsidRPr="00874E32">
        <w:rPr>
          <w:rFonts w:ascii="Times New Roman" w:hAnsi="Times New Roman"/>
          <w:sz w:val="24"/>
        </w:rPr>
        <w:t xml:space="preserve">H, </w:t>
      </w:r>
      <w:r w:rsidRPr="00874E32">
        <w:rPr>
          <w:rFonts w:ascii="Times New Roman" w:hAnsi="Times New Roman"/>
          <w:sz w:val="24"/>
          <w:vertAlign w:val="superscript"/>
        </w:rPr>
        <w:t>14</w:t>
      </w:r>
      <w:r w:rsidRPr="00874E32">
        <w:rPr>
          <w:rFonts w:ascii="Times New Roman" w:hAnsi="Times New Roman"/>
          <w:sz w:val="24"/>
        </w:rPr>
        <w:t xml:space="preserve">C, and </w:t>
      </w:r>
      <w:r w:rsidRPr="00874E32">
        <w:rPr>
          <w:rFonts w:ascii="Times New Roman" w:hAnsi="Times New Roman"/>
          <w:sz w:val="24"/>
          <w:vertAlign w:val="superscript"/>
        </w:rPr>
        <w:t>40</w:t>
      </w:r>
      <w:r w:rsidRPr="00874E32">
        <w:rPr>
          <w:rFonts w:ascii="Times New Roman" w:hAnsi="Times New Roman"/>
          <w:sz w:val="24"/>
        </w:rPr>
        <w:t>K (Oyeyinka et al., 2012). Regional variations in background radiation levels are largely influenced by geological and geographical settings (UNSCEAR, 2000; Tchokossa et al., 2012). Given the strong association between radiation exposure and cancer risk, systematic monitoring of environmental radiation is a crucial component of public health protection (MDH, 2008).</w:t>
      </w:r>
    </w:p>
    <w:p w14:paraId="42CDA63B" w14:textId="77777777" w:rsidR="002818D5" w:rsidRPr="00874E32" w:rsidRDefault="002818D5" w:rsidP="009E7C7E">
      <w:pPr>
        <w:pStyle w:val="toc6"/>
        <w:autoSpaceDE w:val="0"/>
        <w:autoSpaceDN w:val="0"/>
        <w:adjustRightInd w:val="0"/>
        <w:spacing w:line="360" w:lineRule="auto"/>
        <w:jc w:val="both"/>
        <w:rPr>
          <w:rFonts w:ascii="Times New Roman" w:hAnsi="Times New Roman"/>
          <w:sz w:val="24"/>
        </w:rPr>
      </w:pPr>
      <w:r w:rsidRPr="00874E32">
        <w:rPr>
          <w:rFonts w:ascii="Times New Roman" w:hAnsi="Times New Roman"/>
          <w:sz w:val="24"/>
        </w:rPr>
        <w:t>Several Nigerian studies have provided insight into environmental radiation levels. Ukokeno et al. (2024) reported elevated dose rates in scrap sites, automobile workshops, and wood workshops in Delta State. Olaoye (2023) showed radionuclide accumulation in soils around mechanic workshops, indicating potential long-term hazards. Ezemba et al. (2025) measured absorbed dose rates in Anambra South, with annual effective doses within global safety limits. Ofomola (2023) highlighted geological influence in a southeastern quarry, while Ugwuanyi et al. (2022) reported variations in background radiation between industrial buildings. A review by Samaila et al. (2022) identified research gaps in occupational settings such as workshops and scrap yards.</w:t>
      </w:r>
    </w:p>
    <w:p w14:paraId="666EECC3" w14:textId="77777777" w:rsidR="002818D5" w:rsidRPr="00874E32" w:rsidRDefault="002818D5" w:rsidP="009E7C7E">
      <w:pPr>
        <w:pStyle w:val="toc6"/>
        <w:autoSpaceDE w:val="0"/>
        <w:autoSpaceDN w:val="0"/>
        <w:adjustRightInd w:val="0"/>
        <w:spacing w:line="360" w:lineRule="auto"/>
        <w:jc w:val="both"/>
        <w:rPr>
          <w:rFonts w:ascii="Times New Roman" w:hAnsi="Times New Roman"/>
          <w:sz w:val="24"/>
        </w:rPr>
      </w:pPr>
      <w:r w:rsidRPr="00874E32">
        <w:rPr>
          <w:rFonts w:ascii="Times New Roman" w:hAnsi="Times New Roman"/>
          <w:sz w:val="24"/>
        </w:rPr>
        <w:t>Despite their importance, mechanical workshops have received limited attention in radiological studies. These environments frequently involve the use of recycled metals that may harbor radionuclides (Lenka &amp; Peter, 2010). In Zaria metropolis, Kaduna State, automobile repair, welding, and metal recycling are prevalent. This study therefore aims to measure background radiation levels in selected workshops, estimate annual effective doses, and compare results with international standards to evaluate occupational and public health risks.</w:t>
      </w:r>
    </w:p>
    <w:p w14:paraId="6ACBFC71" w14:textId="77777777" w:rsidR="009E7C7E" w:rsidRDefault="009E7C7E" w:rsidP="002818D5">
      <w:pPr>
        <w:pStyle w:val="toc6"/>
        <w:autoSpaceDE w:val="0"/>
        <w:autoSpaceDN w:val="0"/>
        <w:adjustRightInd w:val="0"/>
        <w:spacing w:after="240" w:line="360" w:lineRule="auto"/>
        <w:rPr>
          <w:rFonts w:ascii="Times New Roman" w:hAnsi="Times New Roman"/>
          <w:b/>
          <w:bCs/>
          <w:sz w:val="24"/>
        </w:rPr>
      </w:pPr>
    </w:p>
    <w:p w14:paraId="1AB84E02" w14:textId="3DAB2C37" w:rsidR="002818D5" w:rsidRPr="00461E16" w:rsidRDefault="009E7C7E" w:rsidP="009E7C7E">
      <w:pPr>
        <w:pStyle w:val="toc6"/>
        <w:autoSpaceDE w:val="0"/>
        <w:autoSpaceDN w:val="0"/>
        <w:adjustRightInd w:val="0"/>
        <w:spacing w:line="360" w:lineRule="auto"/>
        <w:rPr>
          <w:rFonts w:ascii="Times New Roman" w:hAnsi="Times New Roman"/>
          <w:b/>
          <w:bCs/>
          <w:sz w:val="24"/>
        </w:rPr>
      </w:pPr>
      <w:r>
        <w:rPr>
          <w:rFonts w:ascii="Times New Roman" w:hAnsi="Times New Roman"/>
          <w:b/>
          <w:bCs/>
          <w:sz w:val="24"/>
        </w:rPr>
        <w:t xml:space="preserve">2.0 </w:t>
      </w:r>
      <w:r w:rsidR="002818D5" w:rsidRPr="00461E16">
        <w:rPr>
          <w:rFonts w:ascii="Times New Roman" w:hAnsi="Times New Roman"/>
          <w:b/>
          <w:bCs/>
          <w:sz w:val="24"/>
        </w:rPr>
        <w:t>MATERIALS AND METHODS</w:t>
      </w:r>
    </w:p>
    <w:p w14:paraId="591A02DA" w14:textId="77777777" w:rsidR="009E7C7E" w:rsidRDefault="009E7C7E" w:rsidP="009E7C7E">
      <w:pPr>
        <w:pStyle w:val="toc6"/>
        <w:autoSpaceDE w:val="0"/>
        <w:autoSpaceDN w:val="0"/>
        <w:adjustRightInd w:val="0"/>
        <w:spacing w:line="360" w:lineRule="auto"/>
        <w:jc w:val="both"/>
        <w:rPr>
          <w:rFonts w:ascii="Times New Roman" w:hAnsi="Times New Roman"/>
          <w:b/>
          <w:bCs/>
          <w:sz w:val="24"/>
        </w:rPr>
      </w:pPr>
    </w:p>
    <w:p w14:paraId="2B955D2C" w14:textId="0F0B8FD5" w:rsidR="002818D5" w:rsidRPr="00874E32" w:rsidRDefault="009E7C7E" w:rsidP="009E7C7E">
      <w:pPr>
        <w:pStyle w:val="toc6"/>
        <w:autoSpaceDE w:val="0"/>
        <w:autoSpaceDN w:val="0"/>
        <w:adjustRightInd w:val="0"/>
        <w:spacing w:line="360" w:lineRule="auto"/>
        <w:jc w:val="both"/>
        <w:rPr>
          <w:rFonts w:ascii="Times New Roman" w:hAnsi="Times New Roman"/>
          <w:b/>
          <w:bCs/>
          <w:sz w:val="24"/>
        </w:rPr>
      </w:pPr>
      <w:r>
        <w:rPr>
          <w:rFonts w:ascii="Times New Roman" w:hAnsi="Times New Roman"/>
          <w:b/>
          <w:bCs/>
          <w:sz w:val="24"/>
        </w:rPr>
        <w:t xml:space="preserve">2.1 </w:t>
      </w:r>
      <w:r w:rsidR="002818D5" w:rsidRPr="00874E32">
        <w:rPr>
          <w:rFonts w:ascii="Times New Roman" w:hAnsi="Times New Roman"/>
          <w:b/>
          <w:bCs/>
          <w:sz w:val="24"/>
        </w:rPr>
        <w:t>Study Area</w:t>
      </w:r>
    </w:p>
    <w:p w14:paraId="1C242E8A" w14:textId="77777777" w:rsidR="002818D5" w:rsidRPr="00874E32" w:rsidRDefault="002818D5" w:rsidP="009E7C7E">
      <w:pPr>
        <w:pStyle w:val="toc6"/>
        <w:autoSpaceDE w:val="0"/>
        <w:autoSpaceDN w:val="0"/>
        <w:adjustRightInd w:val="0"/>
        <w:spacing w:line="360" w:lineRule="auto"/>
        <w:jc w:val="both"/>
        <w:rPr>
          <w:rFonts w:ascii="Times New Roman" w:hAnsi="Times New Roman"/>
          <w:sz w:val="24"/>
        </w:rPr>
      </w:pPr>
      <w:r w:rsidRPr="00874E32">
        <w:rPr>
          <w:rFonts w:ascii="Times New Roman" w:hAnsi="Times New Roman"/>
          <w:sz w:val="24"/>
        </w:rPr>
        <w:t xml:space="preserve">This study was conducted within </w:t>
      </w:r>
      <w:r w:rsidRPr="00874E32">
        <w:rPr>
          <w:rFonts w:ascii="Times New Roman" w:hAnsi="Times New Roman"/>
          <w:b/>
          <w:bCs/>
          <w:sz w:val="24"/>
        </w:rPr>
        <w:t>Zaria Metropolis, Kaduna State, Northwestern Nigeria</w:t>
      </w:r>
      <w:r w:rsidRPr="00874E32">
        <w:rPr>
          <w:rFonts w:ascii="Times New Roman" w:hAnsi="Times New Roman"/>
          <w:sz w:val="24"/>
        </w:rPr>
        <w:t xml:space="preserve">, situated between latitude 11°04′N–11°12′N and longitude 7°41′E–7°46′E, with an estimated population of over one million people (NPC, 2006). Zaria is a major educational and commercial hub, hosting Ahmadu Bello University, several industries, and numerous mechanical workshops where automobile repairs, welding, and scrap recycling activities are common. These workshops were chosen because they represent potential hotspots for natural </w:t>
      </w:r>
      <w:r w:rsidRPr="00874E32">
        <w:rPr>
          <w:rFonts w:ascii="Times New Roman" w:hAnsi="Times New Roman"/>
          <w:sz w:val="24"/>
        </w:rPr>
        <w:lastRenderedPageBreak/>
        <w:t>and anthropogenic radiation exposure due to the use of recycled metallic materials and possible contamination from industrial waste (Bello et al., 2021; Usman et al., 2021).</w:t>
      </w:r>
    </w:p>
    <w:p w14:paraId="0C439845" w14:textId="77777777" w:rsidR="00683AB2" w:rsidRDefault="00683AB2" w:rsidP="002818D5">
      <w:pPr>
        <w:pStyle w:val="toc6"/>
        <w:autoSpaceDE w:val="0"/>
        <w:autoSpaceDN w:val="0"/>
        <w:adjustRightInd w:val="0"/>
        <w:spacing w:after="240" w:line="360" w:lineRule="auto"/>
        <w:jc w:val="both"/>
        <w:rPr>
          <w:rFonts w:ascii="Times New Roman" w:hAnsi="Times New Roman"/>
          <w:b/>
          <w:bCs/>
          <w:sz w:val="24"/>
        </w:rPr>
      </w:pPr>
    </w:p>
    <w:p w14:paraId="331A1789" w14:textId="4684B080" w:rsidR="002818D5" w:rsidRPr="00874E32" w:rsidRDefault="00683AB2" w:rsidP="00683AB2">
      <w:pPr>
        <w:pStyle w:val="toc6"/>
        <w:autoSpaceDE w:val="0"/>
        <w:autoSpaceDN w:val="0"/>
        <w:adjustRightInd w:val="0"/>
        <w:spacing w:line="360" w:lineRule="auto"/>
        <w:jc w:val="both"/>
        <w:rPr>
          <w:rFonts w:ascii="Times New Roman" w:hAnsi="Times New Roman"/>
          <w:b/>
          <w:bCs/>
          <w:sz w:val="24"/>
        </w:rPr>
      </w:pPr>
      <w:r>
        <w:rPr>
          <w:rFonts w:ascii="Times New Roman" w:hAnsi="Times New Roman"/>
          <w:b/>
          <w:bCs/>
          <w:sz w:val="24"/>
        </w:rPr>
        <w:t xml:space="preserve">2.1 </w:t>
      </w:r>
      <w:r w:rsidR="002818D5" w:rsidRPr="00874E32">
        <w:rPr>
          <w:rFonts w:ascii="Times New Roman" w:hAnsi="Times New Roman"/>
          <w:b/>
          <w:bCs/>
          <w:sz w:val="24"/>
        </w:rPr>
        <w:t>Selection of Sampling Locations</w:t>
      </w:r>
    </w:p>
    <w:p w14:paraId="0B05AD7A" w14:textId="02E52F69" w:rsidR="002818D5" w:rsidRDefault="002818D5" w:rsidP="00683AB2">
      <w:pPr>
        <w:pStyle w:val="toc6"/>
        <w:autoSpaceDE w:val="0"/>
        <w:autoSpaceDN w:val="0"/>
        <w:adjustRightInd w:val="0"/>
        <w:spacing w:line="360" w:lineRule="auto"/>
        <w:jc w:val="both"/>
        <w:rPr>
          <w:rFonts w:ascii="Times New Roman" w:hAnsi="Times New Roman"/>
          <w:sz w:val="24"/>
          <w:lang w:val="en-GB"/>
        </w:rPr>
      </w:pPr>
      <w:r w:rsidRPr="00874E32">
        <w:rPr>
          <w:rFonts w:ascii="Times New Roman" w:hAnsi="Times New Roman"/>
          <w:sz w:val="24"/>
        </w:rPr>
        <w:t xml:space="preserve">A purposive sampling strategy was employed to ensure spatial representation of </w:t>
      </w:r>
      <w:r w:rsidR="003B3DFC">
        <w:rPr>
          <w:rFonts w:ascii="Times New Roman" w:hAnsi="Times New Roman"/>
          <w:sz w:val="24"/>
          <w:lang w:val="en-GB"/>
        </w:rPr>
        <w:t>some districts</w:t>
      </w:r>
      <w:r w:rsidR="002B6D3C">
        <w:rPr>
          <w:rFonts w:ascii="Times New Roman" w:hAnsi="Times New Roman"/>
          <w:sz w:val="24"/>
          <w:lang w:val="en-GB"/>
        </w:rPr>
        <w:t xml:space="preserve"> w</w:t>
      </w:r>
      <w:r w:rsidRPr="00874E32">
        <w:rPr>
          <w:rFonts w:ascii="Times New Roman" w:hAnsi="Times New Roman"/>
          <w:sz w:val="24"/>
        </w:rPr>
        <w:t xml:space="preserve">ithin the metropolis. </w:t>
      </w:r>
      <w:r>
        <w:rPr>
          <w:rFonts w:ascii="Times New Roman" w:hAnsi="Times New Roman"/>
          <w:sz w:val="24"/>
        </w:rPr>
        <w:t>Fifteen</w:t>
      </w:r>
      <w:r w:rsidRPr="00874E32">
        <w:rPr>
          <w:rFonts w:ascii="Times New Roman" w:hAnsi="Times New Roman"/>
          <w:sz w:val="24"/>
        </w:rPr>
        <w:t xml:space="preserve"> (1</w:t>
      </w:r>
      <w:r>
        <w:rPr>
          <w:rFonts w:ascii="Times New Roman" w:hAnsi="Times New Roman"/>
          <w:sz w:val="24"/>
        </w:rPr>
        <w:t>5</w:t>
      </w:r>
      <w:r w:rsidRPr="00874E32">
        <w:rPr>
          <w:rFonts w:ascii="Times New Roman" w:hAnsi="Times New Roman"/>
          <w:sz w:val="24"/>
        </w:rPr>
        <w:t xml:space="preserve">) mechanical workshops were selected across </w:t>
      </w:r>
      <w:r w:rsidR="00340925">
        <w:rPr>
          <w:rFonts w:ascii="Times New Roman" w:hAnsi="Times New Roman"/>
          <w:b/>
          <w:bCs/>
          <w:sz w:val="24"/>
          <w:lang w:val="en-GB"/>
        </w:rPr>
        <w:t>Dan</w:t>
      </w:r>
      <w:r w:rsidR="00897888">
        <w:rPr>
          <w:rFonts w:ascii="Times New Roman" w:hAnsi="Times New Roman"/>
          <w:b/>
          <w:bCs/>
          <w:sz w:val="24"/>
          <w:lang w:val="en-GB"/>
        </w:rPr>
        <w:t>-Magaji and Tukur-Tukur</w:t>
      </w:r>
      <w:r w:rsidRPr="00874E32">
        <w:rPr>
          <w:rFonts w:ascii="Times New Roman" w:hAnsi="Times New Roman"/>
          <w:sz w:val="24"/>
        </w:rPr>
        <w:t>, based on their accessibility, activity level, and proximity to residential areas. Background control measurements were taken at a residential location with minimal industrial activity, to serve as a baseline (Orosun et al., 2021).</w:t>
      </w:r>
    </w:p>
    <w:p w14:paraId="608EBB37" w14:textId="77777777" w:rsidR="00084636" w:rsidRPr="00084636" w:rsidRDefault="00084636" w:rsidP="00683AB2">
      <w:pPr>
        <w:pStyle w:val="toc6"/>
        <w:autoSpaceDE w:val="0"/>
        <w:autoSpaceDN w:val="0"/>
        <w:adjustRightInd w:val="0"/>
        <w:spacing w:line="360" w:lineRule="auto"/>
        <w:jc w:val="both"/>
        <w:rPr>
          <w:rFonts w:ascii="Times New Roman" w:hAnsi="Times New Roman"/>
          <w:sz w:val="24"/>
          <w:lang w:val="en-GB"/>
        </w:rPr>
      </w:pPr>
    </w:p>
    <w:p w14:paraId="73DCD877" w14:textId="117CA887" w:rsidR="002818D5" w:rsidRPr="003434A7" w:rsidRDefault="00683AB2" w:rsidP="002818D5">
      <w:pPr>
        <w:pStyle w:val="toc6"/>
        <w:autoSpaceDE w:val="0"/>
        <w:autoSpaceDN w:val="0"/>
        <w:adjustRightInd w:val="0"/>
        <w:spacing w:line="360" w:lineRule="auto"/>
        <w:rPr>
          <w:rFonts w:ascii="Times New Roman" w:hAnsi="Times New Roman"/>
          <w:b/>
          <w:bCs/>
          <w:sz w:val="24"/>
        </w:rPr>
      </w:pPr>
      <w:r>
        <w:rPr>
          <w:rFonts w:ascii="Times New Roman" w:hAnsi="Times New Roman"/>
          <w:b/>
          <w:bCs/>
          <w:sz w:val="24"/>
        </w:rPr>
        <w:t xml:space="preserve">2.2 </w:t>
      </w:r>
      <w:r w:rsidR="002818D5">
        <w:rPr>
          <w:rFonts w:ascii="Times New Roman" w:hAnsi="Times New Roman"/>
          <w:b/>
          <w:bCs/>
          <w:sz w:val="24"/>
        </w:rPr>
        <w:t xml:space="preserve">Instrumentation and </w:t>
      </w:r>
      <w:r w:rsidR="002818D5" w:rsidRPr="002647A6">
        <w:rPr>
          <w:rFonts w:ascii="Times New Roman" w:hAnsi="Times New Roman"/>
          <w:b/>
          <w:bCs/>
          <w:sz w:val="24"/>
        </w:rPr>
        <w:t>Measurement protocol</w:t>
      </w:r>
    </w:p>
    <w:p w14:paraId="7A694171" w14:textId="77777777" w:rsidR="002818D5" w:rsidRPr="003434A7" w:rsidRDefault="002818D5" w:rsidP="002818D5">
      <w:pPr>
        <w:pStyle w:val="toc6"/>
        <w:autoSpaceDE w:val="0"/>
        <w:autoSpaceDN w:val="0"/>
        <w:adjustRightInd w:val="0"/>
        <w:spacing w:line="360" w:lineRule="auto"/>
        <w:jc w:val="both"/>
        <w:rPr>
          <w:rFonts w:ascii="Times New Roman" w:hAnsi="Times New Roman"/>
          <w:sz w:val="24"/>
        </w:rPr>
      </w:pPr>
      <w:r w:rsidRPr="002647A6">
        <w:rPr>
          <w:rFonts w:ascii="Times New Roman" w:hAnsi="Times New Roman"/>
          <w:sz w:val="24"/>
        </w:rPr>
        <w:t>The RDS-120 radiation survey meter was employed to measure background radiation. The detector was positioned one meter above ground level, set to its most sensitive scale, and held steady for five minutes. Measurements were recorded for each location. The collected dose rate values were later used to compute the annual effective dose rate in milli-sieverts per year (mSv/yr) using the established conversion formula (Tayyeb et al., 2012).</w:t>
      </w:r>
    </w:p>
    <w:p w14:paraId="330081C4" w14:textId="77777777" w:rsidR="002818D5" w:rsidRDefault="002818D5" w:rsidP="002818D5">
      <w:pPr>
        <w:rPr>
          <w:rFonts w:ascii="Times New Roman" w:hAnsi="Times New Roman"/>
          <w:b/>
          <w:bCs/>
          <w:sz w:val="24"/>
        </w:rPr>
      </w:pPr>
    </w:p>
    <w:p w14:paraId="357EFD77" w14:textId="7A0CA84E" w:rsidR="002818D5" w:rsidRPr="008147EE" w:rsidRDefault="00842976" w:rsidP="002818D5">
      <w:pPr>
        <w:spacing w:line="360" w:lineRule="auto"/>
        <w:rPr>
          <w:b/>
          <w:bCs/>
        </w:rPr>
      </w:pPr>
      <w:r>
        <w:rPr>
          <w:rFonts w:ascii="Times New Roman" w:hAnsi="Times New Roman"/>
          <w:b/>
          <w:bCs/>
          <w:sz w:val="24"/>
        </w:rPr>
        <w:t xml:space="preserve">2.3 </w:t>
      </w:r>
      <w:r w:rsidR="002818D5" w:rsidRPr="008147EE">
        <w:rPr>
          <w:rFonts w:ascii="Times New Roman" w:hAnsi="Times New Roman"/>
          <w:b/>
          <w:bCs/>
          <w:sz w:val="24"/>
        </w:rPr>
        <w:t>Annual effective dose rate</w:t>
      </w:r>
    </w:p>
    <w:p w14:paraId="63CEA016" w14:textId="77777777" w:rsidR="002818D5" w:rsidRPr="003434A7" w:rsidRDefault="002818D5" w:rsidP="002818D5">
      <w:pPr>
        <w:pStyle w:val="toc6"/>
        <w:autoSpaceDE w:val="0"/>
        <w:autoSpaceDN w:val="0"/>
        <w:adjustRightInd w:val="0"/>
        <w:spacing w:line="360" w:lineRule="auto"/>
        <w:jc w:val="both"/>
        <w:rPr>
          <w:rFonts w:ascii="Times New Roman" w:hAnsi="Times New Roman"/>
          <w:sz w:val="24"/>
        </w:rPr>
      </w:pPr>
      <w:r w:rsidRPr="008147EE">
        <w:rPr>
          <w:rFonts w:ascii="Times New Roman" w:hAnsi="Times New Roman"/>
          <w:sz w:val="24"/>
        </w:rPr>
        <w:t>Annual effective dose rate</w:t>
      </w:r>
      <w:r w:rsidRPr="003434A7">
        <w:rPr>
          <w:rFonts w:ascii="Times New Roman" w:hAnsi="Times New Roman"/>
          <w:sz w:val="24"/>
        </w:rPr>
        <w:t xml:space="preserve"> (mSv/yr.) = EDR (µSv/h) × 0.2 × 8760h/yr. × 10</w:t>
      </w:r>
      <w:r w:rsidRPr="00252447">
        <w:rPr>
          <w:rFonts w:ascii="Times New Roman" w:hAnsi="Times New Roman"/>
          <w:sz w:val="24"/>
          <w:vertAlign w:val="superscript"/>
        </w:rPr>
        <w:t>-3</w:t>
      </w:r>
      <w:r>
        <w:rPr>
          <w:rFonts w:ascii="Times New Roman" w:hAnsi="Times New Roman"/>
          <w:sz w:val="24"/>
        </w:rPr>
        <w:tab/>
      </w:r>
      <w:r>
        <w:rPr>
          <w:rFonts w:ascii="Times New Roman" w:hAnsi="Times New Roman"/>
          <w:sz w:val="24"/>
        </w:rPr>
        <w:tab/>
      </w:r>
      <w:r w:rsidRPr="003434A7">
        <w:rPr>
          <w:rFonts w:ascii="Times New Roman" w:hAnsi="Times New Roman"/>
          <w:sz w:val="24"/>
        </w:rPr>
        <w:t>(1)</w:t>
      </w:r>
    </w:p>
    <w:p w14:paraId="08E04E60" w14:textId="77777777" w:rsidR="002818D5" w:rsidRDefault="002818D5" w:rsidP="002818D5">
      <w:pPr>
        <w:pStyle w:val="toc6"/>
        <w:autoSpaceDE w:val="0"/>
        <w:autoSpaceDN w:val="0"/>
        <w:adjustRightInd w:val="0"/>
        <w:spacing w:line="360" w:lineRule="auto"/>
        <w:jc w:val="both"/>
        <w:rPr>
          <w:rFonts w:ascii="Times New Roman" w:hAnsi="Times New Roman"/>
          <w:sz w:val="24"/>
        </w:rPr>
      </w:pPr>
      <w:r w:rsidRPr="008147EE">
        <w:rPr>
          <w:rFonts w:ascii="Times New Roman" w:hAnsi="Times New Roman"/>
          <w:sz w:val="24"/>
        </w:rPr>
        <w:t xml:space="preserve">Where </w:t>
      </w:r>
      <w:r w:rsidRPr="008147EE">
        <w:rPr>
          <w:rFonts w:ascii="Times New Roman" w:hAnsi="Times New Roman"/>
          <w:i/>
          <w:iCs/>
          <w:sz w:val="24"/>
        </w:rPr>
        <w:t>EDR</w:t>
      </w:r>
      <w:r w:rsidRPr="008147EE">
        <w:rPr>
          <w:rFonts w:ascii="Times New Roman" w:hAnsi="Times New Roman"/>
          <w:sz w:val="24"/>
        </w:rPr>
        <w:t xml:space="preserve"> denotes the equivalent dose rate. For public exposure assessment, an outdoor occupancy factor was applied. A total of 8,760 hours per year (24 hours × 365 days) was considered, with an outdoor occupancy fraction of 0.2, since the study was conducted in open workshop environments</w:t>
      </w:r>
      <w:r>
        <w:rPr>
          <w:rFonts w:ascii="Times New Roman" w:hAnsi="Times New Roman"/>
          <w:sz w:val="24"/>
        </w:rPr>
        <w:t xml:space="preserve"> (Bello </w:t>
      </w:r>
      <w:r w:rsidRPr="002647A6">
        <w:rPr>
          <w:rFonts w:ascii="Times New Roman" w:hAnsi="Times New Roman"/>
          <w:sz w:val="24"/>
        </w:rPr>
        <w:t>et al., 20</w:t>
      </w:r>
      <w:r>
        <w:rPr>
          <w:rFonts w:ascii="Times New Roman" w:hAnsi="Times New Roman"/>
          <w:sz w:val="24"/>
        </w:rPr>
        <w:t>21)</w:t>
      </w:r>
    </w:p>
    <w:p w14:paraId="5854360E" w14:textId="77777777" w:rsidR="0052582C" w:rsidRDefault="0052582C" w:rsidP="002818D5">
      <w:pPr>
        <w:pStyle w:val="toc6"/>
        <w:autoSpaceDE w:val="0"/>
        <w:autoSpaceDN w:val="0"/>
        <w:adjustRightInd w:val="0"/>
        <w:spacing w:line="360" w:lineRule="auto"/>
        <w:jc w:val="both"/>
        <w:rPr>
          <w:rFonts w:ascii="Times New Roman" w:hAnsi="Times New Roman"/>
          <w:sz w:val="24"/>
        </w:rPr>
      </w:pPr>
    </w:p>
    <w:p w14:paraId="71DEF3E0" w14:textId="6A2FF5F7" w:rsidR="002818D5" w:rsidRPr="003434A7" w:rsidRDefault="00842976" w:rsidP="002818D5">
      <w:pPr>
        <w:pStyle w:val="toc6"/>
        <w:autoSpaceDE w:val="0"/>
        <w:autoSpaceDN w:val="0"/>
        <w:adjustRightInd w:val="0"/>
        <w:spacing w:line="360" w:lineRule="auto"/>
        <w:jc w:val="both"/>
        <w:rPr>
          <w:rFonts w:ascii="Times New Roman" w:hAnsi="Times New Roman"/>
          <w:sz w:val="24"/>
        </w:rPr>
      </w:pPr>
      <w:r>
        <w:rPr>
          <w:rFonts w:ascii="Times New Roman" w:hAnsi="Times New Roman"/>
          <w:b/>
          <w:bCs/>
          <w:sz w:val="24"/>
        </w:rPr>
        <w:t xml:space="preserve">2.4 </w:t>
      </w:r>
      <w:r w:rsidR="002818D5" w:rsidRPr="008147EE">
        <w:rPr>
          <w:rFonts w:ascii="Times New Roman" w:hAnsi="Times New Roman"/>
          <w:b/>
          <w:bCs/>
          <w:sz w:val="24"/>
        </w:rPr>
        <w:t>Garmin Handheld GPS-12</w:t>
      </w:r>
    </w:p>
    <w:p w14:paraId="113EC0E7" w14:textId="77777777" w:rsidR="002818D5" w:rsidRPr="008147EE" w:rsidRDefault="002818D5" w:rsidP="002818D5">
      <w:pPr>
        <w:pStyle w:val="toc6"/>
        <w:autoSpaceDE w:val="0"/>
        <w:autoSpaceDN w:val="0"/>
        <w:adjustRightInd w:val="0"/>
        <w:spacing w:line="360" w:lineRule="auto"/>
        <w:jc w:val="both"/>
        <w:rPr>
          <w:rFonts w:ascii="Times New Roman" w:hAnsi="Times New Roman"/>
          <w:sz w:val="24"/>
        </w:rPr>
      </w:pPr>
      <w:r w:rsidRPr="008147EE">
        <w:rPr>
          <w:rFonts w:ascii="Times New Roman" w:hAnsi="Times New Roman"/>
          <w:sz w:val="24"/>
        </w:rPr>
        <w:t>To operate the Garmin Handheld GPS-12, the device was held one meter above ground level and powered on by pressing the power button, allowing it to self-test and acquire satellite signals until the positioning page appeared. The “Mark” key was then pressed to record the current position as a waypoint. After shifting the device for a few minutes in any direction, the “Page” button was pressed to display the compass page, and the readings were recorded.</w:t>
      </w:r>
    </w:p>
    <w:p w14:paraId="69164456" w14:textId="77777777" w:rsidR="002818D5" w:rsidRDefault="002818D5"/>
    <w:p w14:paraId="29B69921" w14:textId="77777777" w:rsidR="00842976" w:rsidRDefault="00842976" w:rsidP="002818D5">
      <w:pPr>
        <w:pStyle w:val="toc6"/>
        <w:autoSpaceDE w:val="0"/>
        <w:autoSpaceDN w:val="0"/>
        <w:adjustRightInd w:val="0"/>
        <w:spacing w:after="240" w:line="360" w:lineRule="auto"/>
        <w:rPr>
          <w:rFonts w:ascii="Times New Roman" w:hAnsi="Times New Roman"/>
          <w:b/>
          <w:bCs/>
          <w:sz w:val="24"/>
        </w:rPr>
      </w:pPr>
    </w:p>
    <w:p w14:paraId="467DEBB6" w14:textId="77777777" w:rsidR="00842976" w:rsidRDefault="00842976" w:rsidP="002818D5">
      <w:pPr>
        <w:pStyle w:val="toc6"/>
        <w:autoSpaceDE w:val="0"/>
        <w:autoSpaceDN w:val="0"/>
        <w:adjustRightInd w:val="0"/>
        <w:spacing w:after="240" w:line="360" w:lineRule="auto"/>
        <w:rPr>
          <w:rFonts w:ascii="Times New Roman" w:hAnsi="Times New Roman"/>
          <w:b/>
          <w:bCs/>
          <w:sz w:val="24"/>
        </w:rPr>
      </w:pPr>
    </w:p>
    <w:p w14:paraId="38845803" w14:textId="5D1D421B" w:rsidR="002818D5" w:rsidRPr="003434A7" w:rsidRDefault="00842976" w:rsidP="00842976">
      <w:pPr>
        <w:pStyle w:val="toc6"/>
        <w:autoSpaceDE w:val="0"/>
        <w:autoSpaceDN w:val="0"/>
        <w:adjustRightInd w:val="0"/>
        <w:spacing w:line="360" w:lineRule="auto"/>
        <w:rPr>
          <w:rFonts w:ascii="Times New Roman" w:hAnsi="Times New Roman"/>
          <w:b/>
          <w:bCs/>
          <w:sz w:val="24"/>
        </w:rPr>
      </w:pPr>
      <w:r>
        <w:rPr>
          <w:rFonts w:ascii="Times New Roman" w:hAnsi="Times New Roman"/>
          <w:b/>
          <w:bCs/>
          <w:sz w:val="24"/>
        </w:rPr>
        <w:t xml:space="preserve">3.0 </w:t>
      </w:r>
      <w:r w:rsidR="002818D5" w:rsidRPr="003434A7">
        <w:rPr>
          <w:rFonts w:ascii="Times New Roman" w:hAnsi="Times New Roman"/>
          <w:b/>
          <w:bCs/>
          <w:sz w:val="24"/>
        </w:rPr>
        <w:t>RESULTS AND DISCUSSION</w:t>
      </w:r>
    </w:p>
    <w:p w14:paraId="4831339F" w14:textId="77777777" w:rsidR="002818D5" w:rsidRDefault="002818D5" w:rsidP="00842976">
      <w:pPr>
        <w:pStyle w:val="toc6"/>
        <w:autoSpaceDE w:val="0"/>
        <w:autoSpaceDN w:val="0"/>
        <w:adjustRightInd w:val="0"/>
        <w:spacing w:line="360" w:lineRule="auto"/>
        <w:jc w:val="both"/>
        <w:rPr>
          <w:rFonts w:ascii="Times New Roman" w:hAnsi="Times New Roman"/>
          <w:sz w:val="24"/>
        </w:rPr>
      </w:pPr>
      <w:r w:rsidRPr="005F7904">
        <w:rPr>
          <w:rFonts w:ascii="Times New Roman" w:hAnsi="Times New Roman"/>
          <w:sz w:val="24"/>
        </w:rPr>
        <w:lastRenderedPageBreak/>
        <w:t>Table 1 presents the mean dose levels recorded at different automobile mechanical workshops within Zaria metropolis, Kaduna State. A total of fifteen (15) measurements were conducted using the RDS-120 survey meter (Plate 3.1) to obtain dose rates in µSv/h, while the Garmin GPS-12 meter (Plate 3.2) was employed to determine the geographical coordinates of each location. For clarity, only the mean dose rates are reported in Table 1, and the corresponding annual effective dose rates were subsequently calculated using Equation 1, with results presented in Table 2</w:t>
      </w:r>
      <w:r>
        <w:rPr>
          <w:rFonts w:ascii="Times New Roman" w:hAnsi="Times New Roman"/>
          <w:sz w:val="24"/>
        </w:rPr>
        <w:t xml:space="preserve"> below.</w:t>
      </w:r>
    </w:p>
    <w:p w14:paraId="5464DE5A" w14:textId="77777777" w:rsidR="002818D5" w:rsidRPr="00842976" w:rsidRDefault="002818D5" w:rsidP="002818D5">
      <w:pPr>
        <w:tabs>
          <w:tab w:val="left" w:pos="1425"/>
        </w:tabs>
        <w:jc w:val="both"/>
        <w:rPr>
          <w:rFonts w:ascii="Times New Roman" w:hAnsi="Times New Roman"/>
          <w:b/>
          <w:bCs/>
          <w:sz w:val="24"/>
          <w:szCs w:val="24"/>
        </w:rPr>
      </w:pPr>
      <w:r w:rsidRPr="00842976">
        <w:rPr>
          <w:rFonts w:ascii="Times New Roman" w:hAnsi="Times New Roman"/>
          <w:b/>
          <w:bCs/>
          <w:color w:val="000000"/>
          <w:sz w:val="24"/>
          <w:szCs w:val="24"/>
        </w:rPr>
        <w:t xml:space="preserve">Table 1: Mean dose level of different </w:t>
      </w:r>
      <w:r w:rsidRPr="00842976">
        <w:rPr>
          <w:rFonts w:ascii="Times New Roman" w:hAnsi="Times New Roman"/>
          <w:b/>
          <w:bCs/>
          <w:sz w:val="24"/>
          <w:szCs w:val="24"/>
        </w:rPr>
        <w:t>automobile mechanical workshop locations</w:t>
      </w:r>
    </w:p>
    <w:tbl>
      <w:tblPr>
        <w:tblStyle w:val="PlainTable2"/>
        <w:tblW w:w="8851" w:type="dxa"/>
        <w:tblLook w:val="0620" w:firstRow="1" w:lastRow="0" w:firstColumn="0" w:lastColumn="0" w:noHBand="1" w:noVBand="1"/>
      </w:tblPr>
      <w:tblGrid>
        <w:gridCol w:w="591"/>
        <w:gridCol w:w="1536"/>
        <w:gridCol w:w="4394"/>
        <w:gridCol w:w="2330"/>
      </w:tblGrid>
      <w:tr w:rsidR="002818D5" w:rsidRPr="00F96DB2" w14:paraId="1D1A597A" w14:textId="77777777" w:rsidTr="007320DA">
        <w:trPr>
          <w:cnfStyle w:val="100000000000" w:firstRow="1" w:lastRow="0" w:firstColumn="0" w:lastColumn="0" w:oddVBand="0" w:evenVBand="0" w:oddHBand="0" w:evenHBand="0" w:firstRowFirstColumn="0" w:firstRowLastColumn="0" w:lastRowFirstColumn="0" w:lastRowLastColumn="0"/>
          <w:trHeight w:val="621"/>
        </w:trPr>
        <w:tc>
          <w:tcPr>
            <w:tcW w:w="591" w:type="dxa"/>
          </w:tcPr>
          <w:p w14:paraId="3CB30E98" w14:textId="77777777" w:rsidR="002818D5" w:rsidRPr="00F96DB2" w:rsidRDefault="002818D5" w:rsidP="006D39BC">
            <w:pPr>
              <w:tabs>
                <w:tab w:val="left" w:pos="1425"/>
              </w:tabs>
              <w:rPr>
                <w:rFonts w:ascii="Times New Roman" w:eastAsia="Calibri" w:hAnsi="Times New Roman"/>
                <w:b w:val="0"/>
                <w:bCs w:val="0"/>
                <w:sz w:val="24"/>
                <w:szCs w:val="24"/>
                <w:lang w:val="en-GB"/>
              </w:rPr>
            </w:pPr>
            <w:r w:rsidRPr="00F96DB2">
              <w:rPr>
                <w:rFonts w:ascii="Times New Roman" w:eastAsia="Calibri" w:hAnsi="Times New Roman"/>
                <w:b w:val="0"/>
                <w:bCs w:val="0"/>
                <w:sz w:val="24"/>
                <w:szCs w:val="24"/>
                <w:lang w:val="en-GB"/>
              </w:rPr>
              <w:t>S/N</w:t>
            </w:r>
          </w:p>
        </w:tc>
        <w:tc>
          <w:tcPr>
            <w:tcW w:w="1536" w:type="dxa"/>
          </w:tcPr>
          <w:p w14:paraId="3C43A646" w14:textId="77777777" w:rsidR="002818D5" w:rsidRPr="00F96DB2" w:rsidRDefault="002818D5" w:rsidP="006D39BC">
            <w:pPr>
              <w:tabs>
                <w:tab w:val="left" w:pos="1425"/>
              </w:tabs>
              <w:jc w:val="center"/>
              <w:rPr>
                <w:rFonts w:ascii="Times New Roman" w:eastAsia="Calibri" w:hAnsi="Times New Roman"/>
                <w:b w:val="0"/>
                <w:bCs w:val="0"/>
                <w:sz w:val="24"/>
                <w:szCs w:val="24"/>
                <w:lang w:val="en-GB"/>
              </w:rPr>
            </w:pPr>
            <w:r w:rsidRPr="00F96DB2">
              <w:rPr>
                <w:rFonts w:ascii="Times New Roman" w:eastAsia="Calibri" w:hAnsi="Times New Roman"/>
                <w:b w:val="0"/>
                <w:bCs w:val="0"/>
                <w:sz w:val="24"/>
                <w:szCs w:val="24"/>
                <w:lang w:val="en-GB"/>
              </w:rPr>
              <w:t>LOCATION</w:t>
            </w:r>
          </w:p>
        </w:tc>
        <w:tc>
          <w:tcPr>
            <w:tcW w:w="4394" w:type="dxa"/>
          </w:tcPr>
          <w:p w14:paraId="0A4EA918" w14:textId="77777777" w:rsidR="002818D5" w:rsidRPr="00F96DB2" w:rsidRDefault="002818D5" w:rsidP="006D39BC">
            <w:pPr>
              <w:tabs>
                <w:tab w:val="left" w:pos="1425"/>
              </w:tabs>
              <w:rPr>
                <w:rFonts w:ascii="Times New Roman" w:eastAsia="Calibri" w:hAnsi="Times New Roman"/>
                <w:b w:val="0"/>
                <w:bCs w:val="0"/>
                <w:sz w:val="24"/>
                <w:szCs w:val="24"/>
                <w:lang w:val="en-GB"/>
              </w:rPr>
            </w:pPr>
            <w:r w:rsidRPr="00F96DB2">
              <w:rPr>
                <w:rFonts w:ascii="Times New Roman" w:eastAsia="Calibri" w:hAnsi="Times New Roman"/>
                <w:b w:val="0"/>
                <w:bCs w:val="0"/>
                <w:sz w:val="24"/>
                <w:szCs w:val="24"/>
                <w:lang w:val="en-GB"/>
              </w:rPr>
              <w:t>LONGITUDE AND LATITUDE (N &amp; E)</w:t>
            </w:r>
          </w:p>
        </w:tc>
        <w:tc>
          <w:tcPr>
            <w:tcW w:w="2330" w:type="dxa"/>
          </w:tcPr>
          <w:p w14:paraId="06B9B325" w14:textId="77777777" w:rsidR="002818D5" w:rsidRPr="00F96DB2" w:rsidRDefault="002818D5" w:rsidP="007320DA">
            <w:pPr>
              <w:tabs>
                <w:tab w:val="left" w:pos="1425"/>
              </w:tabs>
              <w:jc w:val="center"/>
              <w:rPr>
                <w:rFonts w:ascii="Times New Roman" w:eastAsia="Calibri" w:hAnsi="Times New Roman"/>
                <w:b w:val="0"/>
                <w:bCs w:val="0"/>
                <w:sz w:val="24"/>
                <w:szCs w:val="24"/>
                <w:lang w:val="en-GB"/>
              </w:rPr>
            </w:pPr>
            <w:r w:rsidRPr="00F96DB2">
              <w:rPr>
                <w:rFonts w:ascii="Times New Roman" w:eastAsia="Calibri" w:hAnsi="Times New Roman"/>
                <w:b w:val="0"/>
                <w:bCs w:val="0"/>
                <w:sz w:val="24"/>
                <w:szCs w:val="24"/>
                <w:lang w:val="en-GB"/>
              </w:rPr>
              <w:t>MEAN DOSE RATE (µSv/h)</w:t>
            </w:r>
          </w:p>
        </w:tc>
      </w:tr>
      <w:tr w:rsidR="002818D5" w:rsidRPr="00F96DB2" w14:paraId="1B037A26" w14:textId="77777777" w:rsidTr="007320DA">
        <w:tc>
          <w:tcPr>
            <w:tcW w:w="591" w:type="dxa"/>
            <w:hideMark/>
          </w:tcPr>
          <w:p w14:paraId="16E7584B" w14:textId="77777777" w:rsidR="002818D5" w:rsidRPr="00F96DB2" w:rsidRDefault="002818D5" w:rsidP="006D39BC">
            <w:pPr>
              <w:pStyle w:val="NoSpacing"/>
              <w:jc w:val="both"/>
              <w:rPr>
                <w:rFonts w:cs="Times New Roman"/>
              </w:rPr>
            </w:pPr>
            <w:r w:rsidRPr="00F96DB2">
              <w:rPr>
                <w:rFonts w:cs="Times New Roman"/>
              </w:rPr>
              <w:t>1</w:t>
            </w:r>
          </w:p>
        </w:tc>
        <w:tc>
          <w:tcPr>
            <w:tcW w:w="1536" w:type="dxa"/>
            <w:hideMark/>
          </w:tcPr>
          <w:p w14:paraId="4432E6D9" w14:textId="77777777" w:rsidR="002818D5" w:rsidRPr="00F96DB2" w:rsidRDefault="002818D5" w:rsidP="006D39BC">
            <w:pPr>
              <w:pStyle w:val="NoSpacing"/>
              <w:rPr>
                <w:rFonts w:cs="Times New Roman"/>
              </w:rPr>
            </w:pPr>
            <w:r w:rsidRPr="00F96DB2">
              <w:rPr>
                <w:rFonts w:cs="Times New Roman"/>
              </w:rPr>
              <w:t>D M G</w:t>
            </w:r>
          </w:p>
        </w:tc>
        <w:tc>
          <w:tcPr>
            <w:tcW w:w="4394" w:type="dxa"/>
            <w:hideMark/>
          </w:tcPr>
          <w:p w14:paraId="6FCEF61C" w14:textId="77777777" w:rsidR="002818D5" w:rsidRPr="00F96DB2" w:rsidRDefault="002818D5" w:rsidP="006D39BC">
            <w:pPr>
              <w:pStyle w:val="NoSpacing"/>
              <w:jc w:val="both"/>
              <w:rPr>
                <w:rFonts w:cs="Times New Roman"/>
              </w:rPr>
            </w:pPr>
            <w:r w:rsidRPr="00F96DB2">
              <w:rPr>
                <w:rFonts w:cs="Times New Roman"/>
              </w:rPr>
              <w:t>11º05´20.3´´N</w:t>
            </w:r>
            <w:r>
              <w:rPr>
                <w:rFonts w:cs="Times New Roman"/>
              </w:rPr>
              <w:t xml:space="preserve">, </w:t>
            </w:r>
            <w:r w:rsidRPr="00F96DB2">
              <w:rPr>
                <w:rFonts w:cs="Times New Roman"/>
              </w:rPr>
              <w:t>007º41´20.7´´E</w:t>
            </w:r>
          </w:p>
        </w:tc>
        <w:tc>
          <w:tcPr>
            <w:tcW w:w="2330" w:type="dxa"/>
            <w:hideMark/>
          </w:tcPr>
          <w:p w14:paraId="71C483DC" w14:textId="77777777" w:rsidR="002818D5" w:rsidRPr="00F96DB2" w:rsidRDefault="002818D5" w:rsidP="007320DA">
            <w:pPr>
              <w:pStyle w:val="NoSpacing"/>
              <w:jc w:val="center"/>
              <w:rPr>
                <w:rFonts w:cs="Times New Roman"/>
              </w:rPr>
            </w:pPr>
            <w:r w:rsidRPr="00F96DB2">
              <w:rPr>
                <w:rFonts w:cs="Times New Roman"/>
              </w:rPr>
              <w:t>0.12</w:t>
            </w:r>
          </w:p>
        </w:tc>
      </w:tr>
      <w:tr w:rsidR="002818D5" w:rsidRPr="00F96DB2" w14:paraId="17DA52ED" w14:textId="77777777" w:rsidTr="007320DA">
        <w:tc>
          <w:tcPr>
            <w:tcW w:w="591" w:type="dxa"/>
            <w:hideMark/>
          </w:tcPr>
          <w:p w14:paraId="6F71B495" w14:textId="77777777" w:rsidR="002818D5" w:rsidRPr="00F96DB2" w:rsidRDefault="002818D5" w:rsidP="006D39BC">
            <w:pPr>
              <w:pStyle w:val="NoSpacing"/>
              <w:jc w:val="both"/>
              <w:rPr>
                <w:rFonts w:cs="Times New Roman"/>
              </w:rPr>
            </w:pPr>
            <w:r w:rsidRPr="00F96DB2">
              <w:rPr>
                <w:rFonts w:cs="Times New Roman"/>
              </w:rPr>
              <w:t>2</w:t>
            </w:r>
          </w:p>
        </w:tc>
        <w:tc>
          <w:tcPr>
            <w:tcW w:w="1536" w:type="dxa"/>
          </w:tcPr>
          <w:p w14:paraId="78299B7B" w14:textId="77777777" w:rsidR="002818D5" w:rsidRPr="00F96DB2" w:rsidRDefault="002818D5" w:rsidP="006D39BC">
            <w:pPr>
              <w:pStyle w:val="NoSpacing"/>
              <w:rPr>
                <w:rFonts w:cs="Times New Roman"/>
              </w:rPr>
            </w:pPr>
            <w:r w:rsidRPr="00F96DB2">
              <w:rPr>
                <w:rFonts w:cs="Times New Roman"/>
              </w:rPr>
              <w:t>A Y S G</w:t>
            </w:r>
          </w:p>
        </w:tc>
        <w:tc>
          <w:tcPr>
            <w:tcW w:w="4394" w:type="dxa"/>
            <w:hideMark/>
          </w:tcPr>
          <w:p w14:paraId="6F3EB87D" w14:textId="77777777" w:rsidR="002818D5" w:rsidRPr="00F96DB2" w:rsidRDefault="002818D5" w:rsidP="006D39BC">
            <w:pPr>
              <w:pStyle w:val="NoSpacing"/>
              <w:jc w:val="both"/>
              <w:rPr>
                <w:rFonts w:cs="Times New Roman"/>
              </w:rPr>
            </w:pPr>
            <w:r w:rsidRPr="00F96DB2">
              <w:rPr>
                <w:rFonts w:cs="Times New Roman"/>
              </w:rPr>
              <w:t>11º05´22.0´´N</w:t>
            </w:r>
            <w:r>
              <w:rPr>
                <w:rFonts w:cs="Times New Roman"/>
              </w:rPr>
              <w:t xml:space="preserve">, </w:t>
            </w:r>
            <w:r w:rsidRPr="00F96DB2">
              <w:rPr>
                <w:rFonts w:cs="Times New Roman"/>
              </w:rPr>
              <w:t>007º41´19.9´´E</w:t>
            </w:r>
          </w:p>
        </w:tc>
        <w:tc>
          <w:tcPr>
            <w:tcW w:w="2330" w:type="dxa"/>
            <w:hideMark/>
          </w:tcPr>
          <w:p w14:paraId="54388886" w14:textId="77777777" w:rsidR="002818D5" w:rsidRPr="00F96DB2" w:rsidRDefault="002818D5" w:rsidP="007320DA">
            <w:pPr>
              <w:pStyle w:val="NoSpacing"/>
              <w:jc w:val="center"/>
              <w:rPr>
                <w:rFonts w:cs="Times New Roman"/>
              </w:rPr>
            </w:pPr>
            <w:r w:rsidRPr="00F96DB2">
              <w:rPr>
                <w:rFonts w:cs="Times New Roman"/>
              </w:rPr>
              <w:t>0.12</w:t>
            </w:r>
          </w:p>
        </w:tc>
      </w:tr>
      <w:tr w:rsidR="002818D5" w:rsidRPr="00F96DB2" w14:paraId="4A412EA0" w14:textId="77777777" w:rsidTr="007320DA">
        <w:tc>
          <w:tcPr>
            <w:tcW w:w="591" w:type="dxa"/>
            <w:hideMark/>
          </w:tcPr>
          <w:p w14:paraId="2DAC0433" w14:textId="77777777" w:rsidR="002818D5" w:rsidRPr="00F96DB2" w:rsidRDefault="002818D5" w:rsidP="006D39BC">
            <w:pPr>
              <w:pStyle w:val="NoSpacing"/>
              <w:jc w:val="both"/>
              <w:rPr>
                <w:rFonts w:cs="Times New Roman"/>
              </w:rPr>
            </w:pPr>
            <w:r w:rsidRPr="00F96DB2">
              <w:rPr>
                <w:rFonts w:cs="Times New Roman"/>
              </w:rPr>
              <w:t>3</w:t>
            </w:r>
          </w:p>
        </w:tc>
        <w:tc>
          <w:tcPr>
            <w:tcW w:w="1536" w:type="dxa"/>
            <w:hideMark/>
          </w:tcPr>
          <w:p w14:paraId="3B29D18C" w14:textId="77777777" w:rsidR="002818D5" w:rsidRPr="00F96DB2" w:rsidRDefault="002818D5" w:rsidP="006D39BC">
            <w:pPr>
              <w:pStyle w:val="NoSpacing"/>
              <w:rPr>
                <w:rFonts w:cs="Times New Roman"/>
              </w:rPr>
            </w:pPr>
            <w:r w:rsidRPr="00F96DB2">
              <w:rPr>
                <w:rFonts w:cs="Times New Roman"/>
              </w:rPr>
              <w:t>O Y G</w:t>
            </w:r>
          </w:p>
        </w:tc>
        <w:tc>
          <w:tcPr>
            <w:tcW w:w="4394" w:type="dxa"/>
            <w:hideMark/>
          </w:tcPr>
          <w:p w14:paraId="4E58CA77" w14:textId="77777777" w:rsidR="002818D5" w:rsidRPr="00F96DB2" w:rsidRDefault="002818D5" w:rsidP="006D39BC">
            <w:pPr>
              <w:pStyle w:val="NoSpacing"/>
              <w:jc w:val="both"/>
              <w:rPr>
                <w:rFonts w:cs="Times New Roman"/>
              </w:rPr>
            </w:pPr>
            <w:r w:rsidRPr="00F96DB2">
              <w:rPr>
                <w:rFonts w:cs="Times New Roman"/>
              </w:rPr>
              <w:t>11º05´24.1´´N</w:t>
            </w:r>
            <w:r>
              <w:rPr>
                <w:rFonts w:cs="Times New Roman"/>
              </w:rPr>
              <w:t xml:space="preserve">, </w:t>
            </w:r>
            <w:r w:rsidRPr="00F96DB2">
              <w:rPr>
                <w:rFonts w:cs="Times New Roman"/>
              </w:rPr>
              <w:t>007º41´21.2´´E</w:t>
            </w:r>
          </w:p>
        </w:tc>
        <w:tc>
          <w:tcPr>
            <w:tcW w:w="2330" w:type="dxa"/>
            <w:hideMark/>
          </w:tcPr>
          <w:p w14:paraId="3F5C1292" w14:textId="77777777" w:rsidR="002818D5" w:rsidRPr="00F96DB2" w:rsidRDefault="002818D5" w:rsidP="007320DA">
            <w:pPr>
              <w:pStyle w:val="NoSpacing"/>
              <w:jc w:val="center"/>
              <w:rPr>
                <w:rFonts w:cs="Times New Roman"/>
              </w:rPr>
            </w:pPr>
            <w:r w:rsidRPr="00F96DB2">
              <w:rPr>
                <w:rFonts w:cs="Times New Roman"/>
              </w:rPr>
              <w:t>0.18</w:t>
            </w:r>
          </w:p>
        </w:tc>
      </w:tr>
      <w:tr w:rsidR="002818D5" w:rsidRPr="00F96DB2" w14:paraId="7DA85617" w14:textId="77777777" w:rsidTr="007320DA">
        <w:tc>
          <w:tcPr>
            <w:tcW w:w="591" w:type="dxa"/>
            <w:hideMark/>
          </w:tcPr>
          <w:p w14:paraId="41A683D2" w14:textId="77777777" w:rsidR="002818D5" w:rsidRPr="00F96DB2" w:rsidRDefault="002818D5" w:rsidP="006D39BC">
            <w:pPr>
              <w:pStyle w:val="NoSpacing"/>
              <w:jc w:val="both"/>
              <w:rPr>
                <w:rFonts w:cs="Times New Roman"/>
              </w:rPr>
            </w:pPr>
            <w:r w:rsidRPr="00F96DB2">
              <w:rPr>
                <w:rFonts w:cs="Times New Roman"/>
              </w:rPr>
              <w:t>4</w:t>
            </w:r>
          </w:p>
        </w:tc>
        <w:tc>
          <w:tcPr>
            <w:tcW w:w="1536" w:type="dxa"/>
            <w:hideMark/>
          </w:tcPr>
          <w:p w14:paraId="2C1BE502" w14:textId="77777777" w:rsidR="002818D5" w:rsidRPr="00F96DB2" w:rsidRDefault="002818D5" w:rsidP="006D39BC">
            <w:pPr>
              <w:pStyle w:val="NoSpacing"/>
              <w:rPr>
                <w:rFonts w:cs="Times New Roman"/>
              </w:rPr>
            </w:pPr>
            <w:r w:rsidRPr="00F96DB2">
              <w:rPr>
                <w:rFonts w:cs="Times New Roman"/>
              </w:rPr>
              <w:t>A B E G</w:t>
            </w:r>
          </w:p>
        </w:tc>
        <w:tc>
          <w:tcPr>
            <w:tcW w:w="4394" w:type="dxa"/>
            <w:hideMark/>
          </w:tcPr>
          <w:p w14:paraId="452D4FC6" w14:textId="77777777" w:rsidR="002818D5" w:rsidRPr="00F96DB2" w:rsidRDefault="002818D5" w:rsidP="006D39BC">
            <w:pPr>
              <w:pStyle w:val="NoSpacing"/>
              <w:jc w:val="both"/>
              <w:rPr>
                <w:rFonts w:cs="Times New Roman"/>
              </w:rPr>
            </w:pPr>
            <w:r w:rsidRPr="00F96DB2">
              <w:rPr>
                <w:rFonts w:cs="Times New Roman"/>
              </w:rPr>
              <w:t>11º05´20.4´´N</w:t>
            </w:r>
            <w:r>
              <w:rPr>
                <w:rFonts w:cs="Times New Roman"/>
              </w:rPr>
              <w:t xml:space="preserve">, </w:t>
            </w:r>
            <w:r w:rsidRPr="00F96DB2">
              <w:rPr>
                <w:rFonts w:cs="Times New Roman"/>
              </w:rPr>
              <w:t>007º41´20.0´´E</w:t>
            </w:r>
          </w:p>
        </w:tc>
        <w:tc>
          <w:tcPr>
            <w:tcW w:w="2330" w:type="dxa"/>
            <w:hideMark/>
          </w:tcPr>
          <w:p w14:paraId="765A34CB" w14:textId="77777777" w:rsidR="002818D5" w:rsidRPr="00F96DB2" w:rsidRDefault="002818D5" w:rsidP="007320DA">
            <w:pPr>
              <w:pStyle w:val="NoSpacing"/>
              <w:jc w:val="center"/>
              <w:rPr>
                <w:rFonts w:cs="Times New Roman"/>
              </w:rPr>
            </w:pPr>
            <w:r w:rsidRPr="00F96DB2">
              <w:rPr>
                <w:rFonts w:cs="Times New Roman"/>
              </w:rPr>
              <w:t>0.12</w:t>
            </w:r>
          </w:p>
        </w:tc>
      </w:tr>
      <w:tr w:rsidR="002818D5" w:rsidRPr="00F96DB2" w14:paraId="11BD02DF" w14:textId="77777777" w:rsidTr="007320DA">
        <w:tc>
          <w:tcPr>
            <w:tcW w:w="591" w:type="dxa"/>
            <w:hideMark/>
          </w:tcPr>
          <w:p w14:paraId="3DFBA46B" w14:textId="77777777" w:rsidR="002818D5" w:rsidRPr="00F96DB2" w:rsidRDefault="002818D5" w:rsidP="006D39BC">
            <w:pPr>
              <w:pStyle w:val="NoSpacing"/>
              <w:jc w:val="both"/>
              <w:rPr>
                <w:rFonts w:cs="Times New Roman"/>
              </w:rPr>
            </w:pPr>
            <w:r w:rsidRPr="00F96DB2">
              <w:rPr>
                <w:rFonts w:cs="Times New Roman"/>
              </w:rPr>
              <w:t xml:space="preserve">5 </w:t>
            </w:r>
          </w:p>
        </w:tc>
        <w:tc>
          <w:tcPr>
            <w:tcW w:w="1536" w:type="dxa"/>
            <w:hideMark/>
          </w:tcPr>
          <w:p w14:paraId="79DF84A5" w14:textId="77777777" w:rsidR="002818D5" w:rsidRPr="00F96DB2" w:rsidRDefault="002818D5" w:rsidP="006D39BC">
            <w:pPr>
              <w:pStyle w:val="NoSpacing"/>
              <w:rPr>
                <w:rFonts w:cs="Times New Roman"/>
              </w:rPr>
            </w:pPr>
            <w:r w:rsidRPr="00F96DB2">
              <w:rPr>
                <w:rFonts w:cs="Times New Roman"/>
              </w:rPr>
              <w:t>A N G</w:t>
            </w:r>
          </w:p>
        </w:tc>
        <w:tc>
          <w:tcPr>
            <w:tcW w:w="4394" w:type="dxa"/>
            <w:hideMark/>
          </w:tcPr>
          <w:p w14:paraId="0EF09DBD" w14:textId="77777777" w:rsidR="002818D5" w:rsidRPr="00F96DB2" w:rsidRDefault="002818D5" w:rsidP="006D39BC">
            <w:pPr>
              <w:pStyle w:val="NoSpacing"/>
              <w:jc w:val="both"/>
              <w:rPr>
                <w:rFonts w:cs="Times New Roman"/>
              </w:rPr>
            </w:pPr>
            <w:r w:rsidRPr="00F96DB2">
              <w:rPr>
                <w:rFonts w:cs="Times New Roman"/>
              </w:rPr>
              <w:t>11º05´26.3´´N</w:t>
            </w:r>
            <w:r>
              <w:rPr>
                <w:rFonts w:cs="Times New Roman"/>
              </w:rPr>
              <w:t xml:space="preserve">, </w:t>
            </w:r>
            <w:r w:rsidRPr="00F96DB2">
              <w:rPr>
                <w:rFonts w:cs="Times New Roman"/>
              </w:rPr>
              <w:t>007º41´20.9´´E</w:t>
            </w:r>
          </w:p>
        </w:tc>
        <w:tc>
          <w:tcPr>
            <w:tcW w:w="2330" w:type="dxa"/>
            <w:hideMark/>
          </w:tcPr>
          <w:p w14:paraId="3FE00F70" w14:textId="77777777" w:rsidR="002818D5" w:rsidRPr="00F96DB2" w:rsidRDefault="002818D5" w:rsidP="007320DA">
            <w:pPr>
              <w:pStyle w:val="NoSpacing"/>
              <w:jc w:val="center"/>
              <w:rPr>
                <w:rFonts w:cs="Times New Roman"/>
              </w:rPr>
            </w:pPr>
            <w:r w:rsidRPr="00F96DB2">
              <w:rPr>
                <w:rFonts w:cs="Times New Roman"/>
              </w:rPr>
              <w:t>0.17</w:t>
            </w:r>
          </w:p>
        </w:tc>
      </w:tr>
      <w:tr w:rsidR="002818D5" w:rsidRPr="00F96DB2" w14:paraId="2282F349" w14:textId="77777777" w:rsidTr="007320DA">
        <w:tc>
          <w:tcPr>
            <w:tcW w:w="591" w:type="dxa"/>
            <w:hideMark/>
          </w:tcPr>
          <w:p w14:paraId="1B23EDEB" w14:textId="77777777" w:rsidR="002818D5" w:rsidRPr="00F96DB2" w:rsidRDefault="002818D5" w:rsidP="006D39BC">
            <w:pPr>
              <w:pStyle w:val="NoSpacing"/>
              <w:jc w:val="both"/>
              <w:rPr>
                <w:rFonts w:cs="Times New Roman"/>
              </w:rPr>
            </w:pPr>
            <w:r w:rsidRPr="00F96DB2">
              <w:rPr>
                <w:rFonts w:cs="Times New Roman"/>
              </w:rPr>
              <w:t>6</w:t>
            </w:r>
          </w:p>
        </w:tc>
        <w:tc>
          <w:tcPr>
            <w:tcW w:w="1536" w:type="dxa"/>
            <w:hideMark/>
          </w:tcPr>
          <w:p w14:paraId="4C6B2018" w14:textId="77777777" w:rsidR="002818D5" w:rsidRPr="00F96DB2" w:rsidRDefault="002818D5" w:rsidP="006D39BC">
            <w:pPr>
              <w:pStyle w:val="NoSpacing"/>
              <w:rPr>
                <w:rFonts w:cs="Times New Roman"/>
              </w:rPr>
            </w:pPr>
            <w:r w:rsidRPr="00F96DB2">
              <w:rPr>
                <w:rFonts w:cs="Times New Roman"/>
              </w:rPr>
              <w:t>O Z G</w:t>
            </w:r>
          </w:p>
        </w:tc>
        <w:tc>
          <w:tcPr>
            <w:tcW w:w="4394" w:type="dxa"/>
            <w:hideMark/>
          </w:tcPr>
          <w:p w14:paraId="44BB1CC0" w14:textId="77777777" w:rsidR="002818D5" w:rsidRPr="00F96DB2" w:rsidRDefault="002818D5" w:rsidP="006D39BC">
            <w:pPr>
              <w:pStyle w:val="NoSpacing"/>
              <w:jc w:val="both"/>
              <w:rPr>
                <w:rFonts w:cs="Times New Roman"/>
              </w:rPr>
            </w:pPr>
            <w:r w:rsidRPr="00F96DB2">
              <w:rPr>
                <w:rFonts w:cs="Times New Roman"/>
              </w:rPr>
              <w:t>11º05´27.4´´N</w:t>
            </w:r>
            <w:r>
              <w:rPr>
                <w:rFonts w:cs="Times New Roman"/>
              </w:rPr>
              <w:t xml:space="preserve">, </w:t>
            </w:r>
            <w:r w:rsidRPr="00F96DB2">
              <w:rPr>
                <w:rFonts w:cs="Times New Roman"/>
              </w:rPr>
              <w:t>007º41´21.3´´E</w:t>
            </w:r>
          </w:p>
        </w:tc>
        <w:tc>
          <w:tcPr>
            <w:tcW w:w="2330" w:type="dxa"/>
            <w:hideMark/>
          </w:tcPr>
          <w:p w14:paraId="594AB808" w14:textId="77777777" w:rsidR="002818D5" w:rsidRPr="00F96DB2" w:rsidRDefault="002818D5" w:rsidP="007320DA">
            <w:pPr>
              <w:pStyle w:val="NoSpacing"/>
              <w:jc w:val="center"/>
              <w:rPr>
                <w:rFonts w:cs="Times New Roman"/>
              </w:rPr>
            </w:pPr>
            <w:r w:rsidRPr="00F96DB2">
              <w:rPr>
                <w:rFonts w:cs="Times New Roman"/>
              </w:rPr>
              <w:t>0.17</w:t>
            </w:r>
          </w:p>
        </w:tc>
      </w:tr>
      <w:tr w:rsidR="002818D5" w:rsidRPr="00F96DB2" w14:paraId="46D6B1AE" w14:textId="77777777" w:rsidTr="007320DA">
        <w:tc>
          <w:tcPr>
            <w:tcW w:w="591" w:type="dxa"/>
            <w:hideMark/>
          </w:tcPr>
          <w:p w14:paraId="14BBEBF9" w14:textId="77777777" w:rsidR="002818D5" w:rsidRPr="00F96DB2" w:rsidRDefault="002818D5" w:rsidP="006D39BC">
            <w:pPr>
              <w:pStyle w:val="NoSpacing"/>
              <w:jc w:val="both"/>
              <w:rPr>
                <w:rFonts w:cs="Times New Roman"/>
              </w:rPr>
            </w:pPr>
            <w:r w:rsidRPr="00F96DB2">
              <w:rPr>
                <w:rFonts w:cs="Times New Roman"/>
              </w:rPr>
              <w:t>7</w:t>
            </w:r>
          </w:p>
        </w:tc>
        <w:tc>
          <w:tcPr>
            <w:tcW w:w="1536" w:type="dxa"/>
            <w:hideMark/>
          </w:tcPr>
          <w:p w14:paraId="085868A2" w14:textId="77777777" w:rsidR="002818D5" w:rsidRPr="00F96DB2" w:rsidRDefault="002818D5" w:rsidP="006D39BC">
            <w:pPr>
              <w:pStyle w:val="NoSpacing"/>
              <w:rPr>
                <w:rFonts w:cs="Times New Roman"/>
              </w:rPr>
            </w:pPr>
            <w:r w:rsidRPr="00F96DB2">
              <w:rPr>
                <w:rFonts w:cs="Times New Roman"/>
              </w:rPr>
              <w:t>O N G</w:t>
            </w:r>
          </w:p>
        </w:tc>
        <w:tc>
          <w:tcPr>
            <w:tcW w:w="4394" w:type="dxa"/>
            <w:hideMark/>
          </w:tcPr>
          <w:p w14:paraId="42B2B2AB" w14:textId="77777777" w:rsidR="002818D5" w:rsidRPr="00F96DB2" w:rsidRDefault="002818D5" w:rsidP="006D39BC">
            <w:pPr>
              <w:pStyle w:val="NoSpacing"/>
              <w:jc w:val="both"/>
              <w:rPr>
                <w:rFonts w:cs="Times New Roman"/>
              </w:rPr>
            </w:pPr>
            <w:r w:rsidRPr="00F96DB2">
              <w:rPr>
                <w:rFonts w:cs="Times New Roman"/>
              </w:rPr>
              <w:t>11º05´27.0´´N</w:t>
            </w:r>
            <w:r>
              <w:rPr>
                <w:rFonts w:cs="Times New Roman"/>
              </w:rPr>
              <w:t xml:space="preserve">, </w:t>
            </w:r>
            <w:r w:rsidRPr="00F96DB2">
              <w:rPr>
                <w:rFonts w:cs="Times New Roman"/>
              </w:rPr>
              <w:t>007º41´22.1´´E</w:t>
            </w:r>
          </w:p>
        </w:tc>
        <w:tc>
          <w:tcPr>
            <w:tcW w:w="2330" w:type="dxa"/>
            <w:hideMark/>
          </w:tcPr>
          <w:p w14:paraId="5C7D1D37" w14:textId="77777777" w:rsidR="002818D5" w:rsidRPr="00F96DB2" w:rsidRDefault="002818D5" w:rsidP="007320DA">
            <w:pPr>
              <w:pStyle w:val="NoSpacing"/>
              <w:jc w:val="center"/>
              <w:rPr>
                <w:rFonts w:cs="Times New Roman"/>
              </w:rPr>
            </w:pPr>
            <w:r w:rsidRPr="00F96DB2">
              <w:rPr>
                <w:rFonts w:cs="Times New Roman"/>
              </w:rPr>
              <w:t>0.17</w:t>
            </w:r>
          </w:p>
        </w:tc>
      </w:tr>
      <w:tr w:rsidR="002818D5" w:rsidRPr="00F96DB2" w14:paraId="52C8BD3D" w14:textId="77777777" w:rsidTr="007320DA">
        <w:tc>
          <w:tcPr>
            <w:tcW w:w="591" w:type="dxa"/>
            <w:hideMark/>
          </w:tcPr>
          <w:p w14:paraId="356B2CDD" w14:textId="77777777" w:rsidR="002818D5" w:rsidRPr="00F96DB2" w:rsidRDefault="002818D5" w:rsidP="006D39BC">
            <w:pPr>
              <w:pStyle w:val="NoSpacing"/>
              <w:jc w:val="both"/>
              <w:rPr>
                <w:rFonts w:cs="Times New Roman"/>
              </w:rPr>
            </w:pPr>
            <w:r w:rsidRPr="00F96DB2">
              <w:rPr>
                <w:rFonts w:cs="Times New Roman"/>
              </w:rPr>
              <w:t>8</w:t>
            </w:r>
          </w:p>
        </w:tc>
        <w:tc>
          <w:tcPr>
            <w:tcW w:w="1536" w:type="dxa"/>
            <w:hideMark/>
          </w:tcPr>
          <w:p w14:paraId="6BA4ED27" w14:textId="77777777" w:rsidR="002818D5" w:rsidRPr="00F96DB2" w:rsidRDefault="002818D5" w:rsidP="006D39BC">
            <w:pPr>
              <w:pStyle w:val="NoSpacing"/>
              <w:rPr>
                <w:rFonts w:cs="Times New Roman"/>
              </w:rPr>
            </w:pPr>
            <w:r w:rsidRPr="00F96DB2">
              <w:rPr>
                <w:rFonts w:cs="Times New Roman"/>
              </w:rPr>
              <w:t>A I G</w:t>
            </w:r>
          </w:p>
        </w:tc>
        <w:tc>
          <w:tcPr>
            <w:tcW w:w="4394" w:type="dxa"/>
            <w:hideMark/>
          </w:tcPr>
          <w:p w14:paraId="312AED53" w14:textId="77777777" w:rsidR="002818D5" w:rsidRPr="00F96DB2" w:rsidRDefault="002818D5" w:rsidP="006D39BC">
            <w:pPr>
              <w:pStyle w:val="NoSpacing"/>
              <w:jc w:val="both"/>
              <w:rPr>
                <w:rFonts w:cs="Times New Roman"/>
              </w:rPr>
            </w:pPr>
            <w:r w:rsidRPr="00F96DB2">
              <w:rPr>
                <w:rFonts w:cs="Times New Roman"/>
              </w:rPr>
              <w:t>11º05´21.1´´N</w:t>
            </w:r>
            <w:r>
              <w:rPr>
                <w:rFonts w:cs="Times New Roman"/>
              </w:rPr>
              <w:t xml:space="preserve">, </w:t>
            </w:r>
            <w:r w:rsidRPr="00F96DB2">
              <w:rPr>
                <w:rFonts w:cs="Times New Roman"/>
              </w:rPr>
              <w:t>007º41´21.5´´E</w:t>
            </w:r>
          </w:p>
        </w:tc>
        <w:tc>
          <w:tcPr>
            <w:tcW w:w="2330" w:type="dxa"/>
            <w:hideMark/>
          </w:tcPr>
          <w:p w14:paraId="56DF623E" w14:textId="77777777" w:rsidR="002818D5" w:rsidRPr="00F96DB2" w:rsidRDefault="002818D5" w:rsidP="007320DA">
            <w:pPr>
              <w:pStyle w:val="NoSpacing"/>
              <w:jc w:val="center"/>
              <w:rPr>
                <w:rFonts w:cs="Times New Roman"/>
              </w:rPr>
            </w:pPr>
            <w:r w:rsidRPr="00F96DB2">
              <w:rPr>
                <w:rFonts w:cs="Times New Roman"/>
              </w:rPr>
              <w:t>0.20</w:t>
            </w:r>
          </w:p>
        </w:tc>
      </w:tr>
      <w:tr w:rsidR="002818D5" w:rsidRPr="00F96DB2" w14:paraId="0BC84529" w14:textId="77777777" w:rsidTr="007320DA">
        <w:tc>
          <w:tcPr>
            <w:tcW w:w="591" w:type="dxa"/>
            <w:hideMark/>
          </w:tcPr>
          <w:p w14:paraId="7A10A965" w14:textId="77777777" w:rsidR="002818D5" w:rsidRPr="00F96DB2" w:rsidRDefault="002818D5" w:rsidP="006D39BC">
            <w:pPr>
              <w:pStyle w:val="NoSpacing"/>
              <w:jc w:val="both"/>
              <w:rPr>
                <w:rFonts w:cs="Times New Roman"/>
              </w:rPr>
            </w:pPr>
            <w:r w:rsidRPr="00F96DB2">
              <w:rPr>
                <w:rFonts w:cs="Times New Roman"/>
              </w:rPr>
              <w:t>9</w:t>
            </w:r>
          </w:p>
        </w:tc>
        <w:tc>
          <w:tcPr>
            <w:tcW w:w="1536" w:type="dxa"/>
            <w:hideMark/>
          </w:tcPr>
          <w:p w14:paraId="6C3F7888" w14:textId="77777777" w:rsidR="002818D5" w:rsidRPr="00F96DB2" w:rsidRDefault="002818D5" w:rsidP="006D39BC">
            <w:pPr>
              <w:pStyle w:val="NoSpacing"/>
              <w:rPr>
                <w:rFonts w:cs="Times New Roman"/>
              </w:rPr>
            </w:pPr>
            <w:r w:rsidRPr="00F96DB2">
              <w:rPr>
                <w:rFonts w:cs="Times New Roman"/>
              </w:rPr>
              <w:t>A U G</w:t>
            </w:r>
          </w:p>
        </w:tc>
        <w:tc>
          <w:tcPr>
            <w:tcW w:w="4394" w:type="dxa"/>
            <w:hideMark/>
          </w:tcPr>
          <w:p w14:paraId="59FFE886" w14:textId="77777777" w:rsidR="002818D5" w:rsidRPr="00F96DB2" w:rsidRDefault="002818D5" w:rsidP="006D39BC">
            <w:pPr>
              <w:pStyle w:val="NoSpacing"/>
              <w:jc w:val="both"/>
              <w:rPr>
                <w:rFonts w:cs="Times New Roman"/>
              </w:rPr>
            </w:pPr>
            <w:r w:rsidRPr="00F96DB2">
              <w:rPr>
                <w:rFonts w:cs="Times New Roman"/>
              </w:rPr>
              <w:t>11º05´21.4´´N</w:t>
            </w:r>
            <w:r>
              <w:rPr>
                <w:rFonts w:cs="Times New Roman"/>
              </w:rPr>
              <w:t xml:space="preserve">, </w:t>
            </w:r>
            <w:r w:rsidRPr="00F96DB2">
              <w:rPr>
                <w:rFonts w:cs="Times New Roman"/>
              </w:rPr>
              <w:t>007º41´20.8´´E</w:t>
            </w:r>
          </w:p>
        </w:tc>
        <w:tc>
          <w:tcPr>
            <w:tcW w:w="2330" w:type="dxa"/>
            <w:hideMark/>
          </w:tcPr>
          <w:p w14:paraId="498844E8" w14:textId="77777777" w:rsidR="002818D5" w:rsidRPr="00F96DB2" w:rsidRDefault="002818D5" w:rsidP="007320DA">
            <w:pPr>
              <w:pStyle w:val="NoSpacing"/>
              <w:jc w:val="center"/>
              <w:rPr>
                <w:rFonts w:cs="Times New Roman"/>
              </w:rPr>
            </w:pPr>
            <w:r w:rsidRPr="00F96DB2">
              <w:rPr>
                <w:rFonts w:cs="Times New Roman"/>
              </w:rPr>
              <w:t>0.13</w:t>
            </w:r>
          </w:p>
        </w:tc>
      </w:tr>
      <w:tr w:rsidR="002818D5" w:rsidRPr="00F96DB2" w14:paraId="2515890B" w14:textId="77777777" w:rsidTr="007320DA">
        <w:tc>
          <w:tcPr>
            <w:tcW w:w="591" w:type="dxa"/>
            <w:hideMark/>
          </w:tcPr>
          <w:p w14:paraId="1D11F74F" w14:textId="77777777" w:rsidR="002818D5" w:rsidRPr="00F96DB2" w:rsidRDefault="002818D5" w:rsidP="006D39BC">
            <w:pPr>
              <w:pStyle w:val="NoSpacing"/>
              <w:jc w:val="both"/>
              <w:rPr>
                <w:rFonts w:cs="Times New Roman"/>
              </w:rPr>
            </w:pPr>
            <w:r w:rsidRPr="00F96DB2">
              <w:rPr>
                <w:rFonts w:cs="Times New Roman"/>
              </w:rPr>
              <w:t>10</w:t>
            </w:r>
          </w:p>
        </w:tc>
        <w:tc>
          <w:tcPr>
            <w:tcW w:w="1536" w:type="dxa"/>
            <w:hideMark/>
          </w:tcPr>
          <w:p w14:paraId="55495B21" w14:textId="77777777" w:rsidR="002818D5" w:rsidRPr="00F96DB2" w:rsidRDefault="002818D5" w:rsidP="006D39BC">
            <w:pPr>
              <w:pStyle w:val="NoSpacing"/>
              <w:rPr>
                <w:rFonts w:cs="Times New Roman"/>
              </w:rPr>
            </w:pPr>
            <w:r w:rsidRPr="00F96DB2">
              <w:rPr>
                <w:rFonts w:cs="Times New Roman"/>
              </w:rPr>
              <w:t>A D R G</w:t>
            </w:r>
          </w:p>
        </w:tc>
        <w:tc>
          <w:tcPr>
            <w:tcW w:w="4394" w:type="dxa"/>
            <w:hideMark/>
          </w:tcPr>
          <w:p w14:paraId="7A39DB20" w14:textId="77777777" w:rsidR="002818D5" w:rsidRPr="00F96DB2" w:rsidRDefault="002818D5" w:rsidP="006D39BC">
            <w:pPr>
              <w:pStyle w:val="NoSpacing"/>
              <w:jc w:val="both"/>
              <w:rPr>
                <w:rFonts w:cs="Times New Roman"/>
              </w:rPr>
            </w:pPr>
            <w:r w:rsidRPr="00F96DB2">
              <w:rPr>
                <w:rFonts w:cs="Times New Roman"/>
              </w:rPr>
              <w:t>11º05´28.1´´N</w:t>
            </w:r>
            <w:r>
              <w:rPr>
                <w:rFonts w:cs="Times New Roman"/>
              </w:rPr>
              <w:t xml:space="preserve">, </w:t>
            </w:r>
            <w:r w:rsidRPr="00F96DB2">
              <w:rPr>
                <w:rFonts w:cs="Times New Roman"/>
              </w:rPr>
              <w:t>007º41´21.8´´E</w:t>
            </w:r>
          </w:p>
        </w:tc>
        <w:tc>
          <w:tcPr>
            <w:tcW w:w="2330" w:type="dxa"/>
            <w:hideMark/>
          </w:tcPr>
          <w:p w14:paraId="1898482C" w14:textId="77777777" w:rsidR="002818D5" w:rsidRPr="00F96DB2" w:rsidRDefault="002818D5" w:rsidP="007320DA">
            <w:pPr>
              <w:pStyle w:val="NoSpacing"/>
              <w:jc w:val="center"/>
              <w:rPr>
                <w:rFonts w:cs="Times New Roman"/>
              </w:rPr>
            </w:pPr>
            <w:r w:rsidRPr="00F96DB2">
              <w:rPr>
                <w:rFonts w:cs="Times New Roman"/>
              </w:rPr>
              <w:t>0.14</w:t>
            </w:r>
          </w:p>
        </w:tc>
      </w:tr>
      <w:tr w:rsidR="002818D5" w:rsidRPr="00F96DB2" w14:paraId="5641C64D" w14:textId="77777777" w:rsidTr="007320DA">
        <w:tc>
          <w:tcPr>
            <w:tcW w:w="591" w:type="dxa"/>
            <w:hideMark/>
          </w:tcPr>
          <w:p w14:paraId="4637224B" w14:textId="77777777" w:rsidR="002818D5" w:rsidRPr="00F96DB2" w:rsidRDefault="002818D5" w:rsidP="006D39BC">
            <w:pPr>
              <w:pStyle w:val="NoSpacing"/>
              <w:jc w:val="both"/>
              <w:rPr>
                <w:rFonts w:cs="Times New Roman"/>
              </w:rPr>
            </w:pPr>
            <w:r w:rsidRPr="00F96DB2">
              <w:rPr>
                <w:rFonts w:cs="Times New Roman"/>
              </w:rPr>
              <w:t xml:space="preserve">11 </w:t>
            </w:r>
          </w:p>
        </w:tc>
        <w:tc>
          <w:tcPr>
            <w:tcW w:w="1536" w:type="dxa"/>
            <w:hideMark/>
          </w:tcPr>
          <w:p w14:paraId="4C2B7308" w14:textId="77777777" w:rsidR="002818D5" w:rsidRPr="00F96DB2" w:rsidRDefault="002818D5" w:rsidP="006D39BC">
            <w:pPr>
              <w:pStyle w:val="NoSpacing"/>
              <w:rPr>
                <w:rFonts w:cs="Times New Roman"/>
              </w:rPr>
            </w:pPr>
            <w:r w:rsidRPr="00F96DB2">
              <w:rPr>
                <w:rFonts w:cs="Times New Roman"/>
              </w:rPr>
              <w:t>A T G</w:t>
            </w:r>
          </w:p>
        </w:tc>
        <w:tc>
          <w:tcPr>
            <w:tcW w:w="4394" w:type="dxa"/>
            <w:hideMark/>
          </w:tcPr>
          <w:p w14:paraId="39E8E74D" w14:textId="77777777" w:rsidR="002818D5" w:rsidRPr="00F96DB2" w:rsidRDefault="002818D5" w:rsidP="006D39BC">
            <w:pPr>
              <w:pStyle w:val="NoSpacing"/>
              <w:jc w:val="both"/>
              <w:rPr>
                <w:rFonts w:cs="Times New Roman"/>
              </w:rPr>
            </w:pPr>
            <w:r w:rsidRPr="00F96DB2">
              <w:rPr>
                <w:rFonts w:cs="Times New Roman"/>
              </w:rPr>
              <w:t>11º05´26.0´´N</w:t>
            </w:r>
            <w:r>
              <w:rPr>
                <w:rFonts w:cs="Times New Roman"/>
              </w:rPr>
              <w:t xml:space="preserve">, </w:t>
            </w:r>
            <w:r w:rsidRPr="00F96DB2">
              <w:rPr>
                <w:rFonts w:cs="Times New Roman"/>
              </w:rPr>
              <w:t>007º41´22.0´´E</w:t>
            </w:r>
          </w:p>
        </w:tc>
        <w:tc>
          <w:tcPr>
            <w:tcW w:w="2330" w:type="dxa"/>
            <w:hideMark/>
          </w:tcPr>
          <w:p w14:paraId="36FE564E" w14:textId="77777777" w:rsidR="002818D5" w:rsidRPr="00F96DB2" w:rsidRDefault="002818D5" w:rsidP="007320DA">
            <w:pPr>
              <w:pStyle w:val="NoSpacing"/>
              <w:jc w:val="center"/>
              <w:rPr>
                <w:rFonts w:cs="Times New Roman"/>
              </w:rPr>
            </w:pPr>
            <w:r w:rsidRPr="00F96DB2">
              <w:rPr>
                <w:rFonts w:cs="Times New Roman"/>
              </w:rPr>
              <w:t>0.14</w:t>
            </w:r>
          </w:p>
        </w:tc>
      </w:tr>
      <w:tr w:rsidR="002818D5" w:rsidRPr="00F96DB2" w14:paraId="70DCCA00" w14:textId="77777777" w:rsidTr="007320DA">
        <w:tc>
          <w:tcPr>
            <w:tcW w:w="591" w:type="dxa"/>
            <w:hideMark/>
          </w:tcPr>
          <w:p w14:paraId="34615B41" w14:textId="77777777" w:rsidR="002818D5" w:rsidRPr="00F96DB2" w:rsidRDefault="002818D5" w:rsidP="006D39BC">
            <w:pPr>
              <w:pStyle w:val="NoSpacing"/>
              <w:jc w:val="both"/>
              <w:rPr>
                <w:rFonts w:cs="Times New Roman"/>
              </w:rPr>
            </w:pPr>
            <w:r w:rsidRPr="00F96DB2">
              <w:rPr>
                <w:rFonts w:cs="Times New Roman"/>
              </w:rPr>
              <w:t>12</w:t>
            </w:r>
          </w:p>
        </w:tc>
        <w:tc>
          <w:tcPr>
            <w:tcW w:w="1536" w:type="dxa"/>
            <w:hideMark/>
          </w:tcPr>
          <w:p w14:paraId="15F699F1" w14:textId="77777777" w:rsidR="002818D5" w:rsidRPr="00F96DB2" w:rsidRDefault="002818D5" w:rsidP="006D39BC">
            <w:pPr>
              <w:pStyle w:val="NoSpacing"/>
              <w:rPr>
                <w:rFonts w:cs="Times New Roman"/>
              </w:rPr>
            </w:pPr>
            <w:r w:rsidRPr="00F96DB2">
              <w:rPr>
                <w:rFonts w:cs="Times New Roman"/>
              </w:rPr>
              <w:t>O M G</w:t>
            </w:r>
          </w:p>
        </w:tc>
        <w:tc>
          <w:tcPr>
            <w:tcW w:w="4394" w:type="dxa"/>
            <w:hideMark/>
          </w:tcPr>
          <w:p w14:paraId="307C7769" w14:textId="77777777" w:rsidR="002818D5" w:rsidRPr="00F96DB2" w:rsidRDefault="002818D5" w:rsidP="006D39BC">
            <w:pPr>
              <w:pStyle w:val="NoSpacing"/>
              <w:jc w:val="both"/>
              <w:rPr>
                <w:rFonts w:cs="Times New Roman"/>
              </w:rPr>
            </w:pPr>
            <w:r w:rsidRPr="00F96DB2">
              <w:rPr>
                <w:rFonts w:cs="Times New Roman"/>
              </w:rPr>
              <w:t>11º05´21.0´´N</w:t>
            </w:r>
            <w:r>
              <w:rPr>
                <w:rFonts w:cs="Times New Roman"/>
              </w:rPr>
              <w:t xml:space="preserve">, </w:t>
            </w:r>
            <w:r w:rsidRPr="00F96DB2">
              <w:rPr>
                <w:rFonts w:cs="Times New Roman"/>
              </w:rPr>
              <w:t>007º41´20.4´´E</w:t>
            </w:r>
          </w:p>
        </w:tc>
        <w:tc>
          <w:tcPr>
            <w:tcW w:w="2330" w:type="dxa"/>
            <w:hideMark/>
          </w:tcPr>
          <w:p w14:paraId="31FDCE36" w14:textId="77777777" w:rsidR="002818D5" w:rsidRPr="00F96DB2" w:rsidRDefault="002818D5" w:rsidP="007320DA">
            <w:pPr>
              <w:pStyle w:val="NoSpacing"/>
              <w:jc w:val="center"/>
              <w:rPr>
                <w:rFonts w:cs="Times New Roman"/>
              </w:rPr>
            </w:pPr>
            <w:r w:rsidRPr="00F96DB2">
              <w:rPr>
                <w:rFonts w:cs="Times New Roman"/>
              </w:rPr>
              <w:t>0.13</w:t>
            </w:r>
          </w:p>
        </w:tc>
      </w:tr>
      <w:tr w:rsidR="002818D5" w:rsidRPr="00F96DB2" w14:paraId="60556B23" w14:textId="77777777" w:rsidTr="007320DA">
        <w:tc>
          <w:tcPr>
            <w:tcW w:w="591" w:type="dxa"/>
            <w:hideMark/>
          </w:tcPr>
          <w:p w14:paraId="613E60C7" w14:textId="77777777" w:rsidR="002818D5" w:rsidRPr="00F96DB2" w:rsidRDefault="002818D5" w:rsidP="006D39BC">
            <w:pPr>
              <w:pStyle w:val="NoSpacing"/>
              <w:jc w:val="both"/>
              <w:rPr>
                <w:rFonts w:cs="Times New Roman"/>
              </w:rPr>
            </w:pPr>
            <w:r w:rsidRPr="00F96DB2">
              <w:rPr>
                <w:rFonts w:cs="Times New Roman"/>
              </w:rPr>
              <w:t>13</w:t>
            </w:r>
          </w:p>
        </w:tc>
        <w:tc>
          <w:tcPr>
            <w:tcW w:w="1536" w:type="dxa"/>
            <w:hideMark/>
          </w:tcPr>
          <w:p w14:paraId="31139905" w14:textId="77777777" w:rsidR="002818D5" w:rsidRPr="00F96DB2" w:rsidRDefault="002818D5" w:rsidP="006D39BC">
            <w:pPr>
              <w:pStyle w:val="NoSpacing"/>
              <w:rPr>
                <w:rFonts w:cs="Times New Roman"/>
              </w:rPr>
            </w:pPr>
            <w:r w:rsidRPr="00F96DB2">
              <w:rPr>
                <w:rFonts w:cs="Times New Roman"/>
              </w:rPr>
              <w:t>G M G</w:t>
            </w:r>
          </w:p>
        </w:tc>
        <w:tc>
          <w:tcPr>
            <w:tcW w:w="4394" w:type="dxa"/>
            <w:hideMark/>
          </w:tcPr>
          <w:p w14:paraId="57E22FC7" w14:textId="77777777" w:rsidR="002818D5" w:rsidRPr="00F96DB2" w:rsidRDefault="002818D5" w:rsidP="006D39BC">
            <w:pPr>
              <w:pStyle w:val="NoSpacing"/>
              <w:jc w:val="both"/>
              <w:rPr>
                <w:rFonts w:cs="Times New Roman"/>
              </w:rPr>
            </w:pPr>
            <w:r w:rsidRPr="00F96DB2">
              <w:rPr>
                <w:rFonts w:cs="Times New Roman"/>
              </w:rPr>
              <w:t>11º05´26.6´´N</w:t>
            </w:r>
            <w:r>
              <w:rPr>
                <w:rFonts w:cs="Times New Roman"/>
              </w:rPr>
              <w:t xml:space="preserve">, </w:t>
            </w:r>
            <w:r w:rsidRPr="00F96DB2">
              <w:rPr>
                <w:rFonts w:cs="Times New Roman"/>
              </w:rPr>
              <w:t>007º41´22.8´´E</w:t>
            </w:r>
          </w:p>
        </w:tc>
        <w:tc>
          <w:tcPr>
            <w:tcW w:w="2330" w:type="dxa"/>
            <w:hideMark/>
          </w:tcPr>
          <w:p w14:paraId="1B4FD2C4" w14:textId="77777777" w:rsidR="002818D5" w:rsidRPr="00F96DB2" w:rsidRDefault="002818D5" w:rsidP="007320DA">
            <w:pPr>
              <w:pStyle w:val="NoSpacing"/>
              <w:jc w:val="center"/>
              <w:rPr>
                <w:rFonts w:cs="Times New Roman"/>
              </w:rPr>
            </w:pPr>
            <w:r w:rsidRPr="00F96DB2">
              <w:rPr>
                <w:rFonts w:cs="Times New Roman"/>
              </w:rPr>
              <w:t>0.12</w:t>
            </w:r>
          </w:p>
        </w:tc>
      </w:tr>
      <w:tr w:rsidR="002818D5" w:rsidRPr="00F96DB2" w14:paraId="7DCEFB08" w14:textId="77777777" w:rsidTr="007320DA">
        <w:tc>
          <w:tcPr>
            <w:tcW w:w="591" w:type="dxa"/>
            <w:hideMark/>
          </w:tcPr>
          <w:p w14:paraId="47FC17EC" w14:textId="77777777" w:rsidR="002818D5" w:rsidRPr="00F96DB2" w:rsidRDefault="002818D5" w:rsidP="006D39BC">
            <w:pPr>
              <w:pStyle w:val="NoSpacing"/>
              <w:jc w:val="both"/>
              <w:rPr>
                <w:rFonts w:cs="Times New Roman"/>
              </w:rPr>
            </w:pPr>
            <w:r w:rsidRPr="00F96DB2">
              <w:rPr>
                <w:rFonts w:cs="Times New Roman"/>
              </w:rPr>
              <w:t>14</w:t>
            </w:r>
          </w:p>
        </w:tc>
        <w:tc>
          <w:tcPr>
            <w:tcW w:w="1536" w:type="dxa"/>
            <w:hideMark/>
          </w:tcPr>
          <w:p w14:paraId="2D2E9C64" w14:textId="77777777" w:rsidR="002818D5" w:rsidRPr="00F96DB2" w:rsidRDefault="002818D5" w:rsidP="006D39BC">
            <w:pPr>
              <w:pStyle w:val="NoSpacing"/>
              <w:rPr>
                <w:rFonts w:cs="Times New Roman"/>
              </w:rPr>
            </w:pPr>
            <w:r w:rsidRPr="00F96DB2">
              <w:rPr>
                <w:rFonts w:cs="Times New Roman"/>
              </w:rPr>
              <w:t>R R G</w:t>
            </w:r>
          </w:p>
        </w:tc>
        <w:tc>
          <w:tcPr>
            <w:tcW w:w="4394" w:type="dxa"/>
            <w:hideMark/>
          </w:tcPr>
          <w:p w14:paraId="70327221" w14:textId="77777777" w:rsidR="002818D5" w:rsidRPr="00F96DB2" w:rsidRDefault="002818D5" w:rsidP="006D39BC">
            <w:pPr>
              <w:pStyle w:val="NoSpacing"/>
              <w:jc w:val="both"/>
              <w:rPr>
                <w:rFonts w:cs="Times New Roman"/>
              </w:rPr>
            </w:pPr>
            <w:r w:rsidRPr="00F96DB2">
              <w:rPr>
                <w:rFonts w:cs="Times New Roman"/>
              </w:rPr>
              <w:t>11º05´28.4´´N</w:t>
            </w:r>
            <w:r>
              <w:rPr>
                <w:rFonts w:cs="Times New Roman"/>
              </w:rPr>
              <w:t xml:space="preserve">, </w:t>
            </w:r>
            <w:r w:rsidRPr="00F96DB2">
              <w:rPr>
                <w:rFonts w:cs="Times New Roman"/>
              </w:rPr>
              <w:t>007º41´21.5´´E</w:t>
            </w:r>
          </w:p>
        </w:tc>
        <w:tc>
          <w:tcPr>
            <w:tcW w:w="2330" w:type="dxa"/>
            <w:hideMark/>
          </w:tcPr>
          <w:p w14:paraId="5A5158F8" w14:textId="77777777" w:rsidR="002818D5" w:rsidRPr="00F96DB2" w:rsidRDefault="002818D5" w:rsidP="007320DA">
            <w:pPr>
              <w:pStyle w:val="NoSpacing"/>
              <w:jc w:val="center"/>
              <w:rPr>
                <w:rFonts w:cs="Times New Roman"/>
              </w:rPr>
            </w:pPr>
            <w:r w:rsidRPr="00F96DB2">
              <w:rPr>
                <w:rFonts w:cs="Times New Roman"/>
              </w:rPr>
              <w:t>0.13</w:t>
            </w:r>
          </w:p>
        </w:tc>
      </w:tr>
      <w:tr w:rsidR="002818D5" w:rsidRPr="00F96DB2" w14:paraId="643E32CB" w14:textId="77777777" w:rsidTr="007320DA">
        <w:tc>
          <w:tcPr>
            <w:tcW w:w="591" w:type="dxa"/>
            <w:hideMark/>
          </w:tcPr>
          <w:p w14:paraId="0881530D" w14:textId="77777777" w:rsidR="002818D5" w:rsidRPr="00F96DB2" w:rsidRDefault="002818D5" w:rsidP="006D39BC">
            <w:pPr>
              <w:pStyle w:val="NoSpacing"/>
              <w:jc w:val="both"/>
              <w:rPr>
                <w:rFonts w:cs="Times New Roman"/>
              </w:rPr>
            </w:pPr>
            <w:r w:rsidRPr="00F96DB2">
              <w:rPr>
                <w:rFonts w:cs="Times New Roman"/>
              </w:rPr>
              <w:t>15</w:t>
            </w:r>
          </w:p>
        </w:tc>
        <w:tc>
          <w:tcPr>
            <w:tcW w:w="1536" w:type="dxa"/>
            <w:hideMark/>
          </w:tcPr>
          <w:p w14:paraId="645BD7FC" w14:textId="77777777" w:rsidR="002818D5" w:rsidRPr="00F96DB2" w:rsidRDefault="002818D5" w:rsidP="006D39BC">
            <w:pPr>
              <w:pStyle w:val="NoSpacing"/>
              <w:rPr>
                <w:rFonts w:cs="Times New Roman"/>
              </w:rPr>
            </w:pPr>
            <w:r w:rsidRPr="00F96DB2">
              <w:rPr>
                <w:rFonts w:cs="Times New Roman"/>
              </w:rPr>
              <w:t>O B G</w:t>
            </w:r>
          </w:p>
        </w:tc>
        <w:tc>
          <w:tcPr>
            <w:tcW w:w="4394" w:type="dxa"/>
            <w:hideMark/>
          </w:tcPr>
          <w:p w14:paraId="3279DC94" w14:textId="77777777" w:rsidR="002818D5" w:rsidRPr="00F96DB2" w:rsidRDefault="002818D5" w:rsidP="006D39BC">
            <w:pPr>
              <w:pStyle w:val="NoSpacing"/>
              <w:jc w:val="both"/>
              <w:rPr>
                <w:rFonts w:cs="Times New Roman"/>
              </w:rPr>
            </w:pPr>
            <w:r w:rsidRPr="00F96DB2">
              <w:rPr>
                <w:rFonts w:cs="Times New Roman"/>
              </w:rPr>
              <w:t>11º05´26.6´´N</w:t>
            </w:r>
            <w:r>
              <w:rPr>
                <w:rFonts w:cs="Times New Roman"/>
              </w:rPr>
              <w:t xml:space="preserve">, </w:t>
            </w:r>
            <w:r w:rsidRPr="00F96DB2">
              <w:rPr>
                <w:rFonts w:cs="Times New Roman"/>
              </w:rPr>
              <w:t>007º41´22.2´´E</w:t>
            </w:r>
          </w:p>
        </w:tc>
        <w:tc>
          <w:tcPr>
            <w:tcW w:w="2330" w:type="dxa"/>
            <w:hideMark/>
          </w:tcPr>
          <w:p w14:paraId="080FE12D" w14:textId="77777777" w:rsidR="002818D5" w:rsidRPr="00F96DB2" w:rsidRDefault="002818D5" w:rsidP="007320DA">
            <w:pPr>
              <w:pStyle w:val="NoSpacing"/>
              <w:jc w:val="center"/>
              <w:rPr>
                <w:rFonts w:cs="Times New Roman"/>
              </w:rPr>
            </w:pPr>
            <w:r w:rsidRPr="00F96DB2">
              <w:rPr>
                <w:rFonts w:cs="Times New Roman"/>
              </w:rPr>
              <w:t>0.12</w:t>
            </w:r>
          </w:p>
        </w:tc>
      </w:tr>
    </w:tbl>
    <w:p w14:paraId="3D2B9E0E" w14:textId="77777777" w:rsidR="002818D5" w:rsidRDefault="002818D5"/>
    <w:p w14:paraId="63484262" w14:textId="0368DF05" w:rsidR="002818D5" w:rsidRPr="002818D5" w:rsidRDefault="002818D5" w:rsidP="002818D5">
      <w:pPr>
        <w:spacing w:line="360" w:lineRule="auto"/>
        <w:jc w:val="both"/>
        <w:rPr>
          <w:rFonts w:ascii="Times New Roman" w:hAnsi="Times New Roman"/>
          <w:sz w:val="24"/>
          <w:szCs w:val="24"/>
        </w:rPr>
      </w:pPr>
      <w:r w:rsidRPr="002818D5">
        <w:rPr>
          <w:rFonts w:ascii="Times New Roman" w:hAnsi="Times New Roman"/>
          <w:sz w:val="24"/>
          <w:szCs w:val="24"/>
        </w:rPr>
        <w:t>Table 1 presents the mean dose rates of ionizing radiation measured across fifteen automobile mechanical workshop locations in Zaria metropolis. The recorded values range from 0.12 µSv/h to 0.20 µSv/h, with the lowest at DMG, AYSG, ABEG, GMG, and OBG (0.12 µSv/h), and the highest at AIG (0.20 µSv/h). Most sites fall within 0.12–0.17 µSv/h, indicating relatively uniform radiation distribution with minor variations attributable to workshop activities, materials, or underlying soil composition. Notably, all measured values are below the global average outdoor background radiation level (~0.27 µSv/h), suggesting no significant radiological health risks in the investigated areas.</w:t>
      </w:r>
    </w:p>
    <w:p w14:paraId="1914C7BF" w14:textId="77777777" w:rsidR="002818D5" w:rsidRDefault="002818D5"/>
    <w:p w14:paraId="155FD80C" w14:textId="4A5315BA" w:rsidR="002818D5" w:rsidRPr="00B34C8F" w:rsidRDefault="002818D5" w:rsidP="002818D5">
      <w:pPr>
        <w:rPr>
          <w:rFonts w:ascii="Times New Roman" w:hAnsi="Times New Roman"/>
          <w:b/>
          <w:bCs/>
          <w:sz w:val="24"/>
          <w:szCs w:val="24"/>
        </w:rPr>
      </w:pPr>
      <w:r>
        <w:rPr>
          <w:rFonts w:ascii="Times New Roman" w:hAnsi="Times New Roman"/>
          <w:b/>
          <w:bCs/>
          <w:sz w:val="24"/>
          <w:szCs w:val="24"/>
        </w:rPr>
        <w:t xml:space="preserve">Table2: </w:t>
      </w:r>
      <w:r w:rsidRPr="00B34C8F">
        <w:rPr>
          <w:rFonts w:ascii="Times New Roman" w:hAnsi="Times New Roman"/>
          <w:b/>
          <w:bCs/>
          <w:sz w:val="24"/>
          <w:szCs w:val="24"/>
        </w:rPr>
        <w:t xml:space="preserve">Total Effective dose rate </w:t>
      </w:r>
      <w:r w:rsidRPr="00B34C8F">
        <w:rPr>
          <w:rFonts w:ascii="Times New Roman" w:hAnsi="Times New Roman"/>
          <w:b/>
          <w:bCs/>
          <w:color w:val="000000"/>
          <w:sz w:val="24"/>
          <w:szCs w:val="24"/>
        </w:rPr>
        <w:t xml:space="preserve">of different </w:t>
      </w:r>
      <w:r w:rsidRPr="00B34C8F">
        <w:rPr>
          <w:rFonts w:ascii="Times New Roman" w:hAnsi="Times New Roman"/>
          <w:b/>
          <w:bCs/>
          <w:sz w:val="24"/>
          <w:szCs w:val="24"/>
        </w:rPr>
        <w:t>automobile mechanical workshop</w:t>
      </w:r>
    </w:p>
    <w:tbl>
      <w:tblPr>
        <w:tblStyle w:val="PlainTable2"/>
        <w:tblW w:w="0" w:type="auto"/>
        <w:tblLook w:val="0620" w:firstRow="1" w:lastRow="0" w:firstColumn="0" w:lastColumn="0" w:noHBand="1" w:noVBand="1"/>
      </w:tblPr>
      <w:tblGrid>
        <w:gridCol w:w="2160"/>
        <w:gridCol w:w="2160"/>
        <w:gridCol w:w="2160"/>
        <w:gridCol w:w="2160"/>
      </w:tblGrid>
      <w:tr w:rsidR="002818D5" w14:paraId="4A42C3E1" w14:textId="77777777" w:rsidTr="00CC75C7">
        <w:trPr>
          <w:cnfStyle w:val="100000000000" w:firstRow="1" w:lastRow="0" w:firstColumn="0" w:lastColumn="0" w:oddVBand="0" w:evenVBand="0" w:oddHBand="0" w:evenHBand="0" w:firstRowFirstColumn="0" w:firstRowLastColumn="0" w:lastRowFirstColumn="0" w:lastRowLastColumn="0"/>
        </w:trPr>
        <w:tc>
          <w:tcPr>
            <w:tcW w:w="2160" w:type="dxa"/>
          </w:tcPr>
          <w:p w14:paraId="18F012BD" w14:textId="77777777" w:rsidR="002818D5" w:rsidRDefault="002818D5" w:rsidP="006D39BC">
            <w:r>
              <w:t>S/N</w:t>
            </w:r>
          </w:p>
        </w:tc>
        <w:tc>
          <w:tcPr>
            <w:tcW w:w="2160" w:type="dxa"/>
          </w:tcPr>
          <w:p w14:paraId="4D0B8FFC" w14:textId="77777777" w:rsidR="002818D5" w:rsidRDefault="002818D5" w:rsidP="006D39BC">
            <w:r>
              <w:t>LOCATION</w:t>
            </w:r>
          </w:p>
        </w:tc>
        <w:tc>
          <w:tcPr>
            <w:tcW w:w="2160" w:type="dxa"/>
          </w:tcPr>
          <w:p w14:paraId="4F9FA0A5" w14:textId="77777777" w:rsidR="002818D5" w:rsidRDefault="002818D5" w:rsidP="006D39BC">
            <w:r>
              <w:t>MEAN DOSE RATE (µSv/h)</w:t>
            </w:r>
          </w:p>
        </w:tc>
        <w:tc>
          <w:tcPr>
            <w:tcW w:w="2160" w:type="dxa"/>
          </w:tcPr>
          <w:p w14:paraId="39E2BB93" w14:textId="77777777" w:rsidR="002818D5" w:rsidRDefault="002818D5" w:rsidP="006D39BC">
            <w:r>
              <w:t>AED (mSv/yr)</w:t>
            </w:r>
          </w:p>
        </w:tc>
      </w:tr>
      <w:tr w:rsidR="002818D5" w14:paraId="4C6206B6" w14:textId="77777777" w:rsidTr="00CC75C7">
        <w:tc>
          <w:tcPr>
            <w:tcW w:w="2160" w:type="dxa"/>
          </w:tcPr>
          <w:p w14:paraId="7E616188" w14:textId="77777777" w:rsidR="002818D5" w:rsidRDefault="002818D5" w:rsidP="006D39BC">
            <w:r>
              <w:t>1</w:t>
            </w:r>
          </w:p>
        </w:tc>
        <w:tc>
          <w:tcPr>
            <w:tcW w:w="2160" w:type="dxa"/>
          </w:tcPr>
          <w:p w14:paraId="78E79397" w14:textId="77777777" w:rsidR="002818D5" w:rsidRDefault="002818D5" w:rsidP="006D39BC">
            <w:r>
              <w:t>D M G</w:t>
            </w:r>
          </w:p>
        </w:tc>
        <w:tc>
          <w:tcPr>
            <w:tcW w:w="2160" w:type="dxa"/>
          </w:tcPr>
          <w:p w14:paraId="67160B5A" w14:textId="77777777" w:rsidR="002818D5" w:rsidRDefault="002818D5" w:rsidP="006D39BC">
            <w:r>
              <w:t>0.12</w:t>
            </w:r>
          </w:p>
        </w:tc>
        <w:tc>
          <w:tcPr>
            <w:tcW w:w="2160" w:type="dxa"/>
          </w:tcPr>
          <w:p w14:paraId="53BE7381" w14:textId="77777777" w:rsidR="002818D5" w:rsidRDefault="002818D5" w:rsidP="006D39BC">
            <w:r>
              <w:t>0.210</w:t>
            </w:r>
          </w:p>
        </w:tc>
      </w:tr>
      <w:tr w:rsidR="002818D5" w14:paraId="6B81F068" w14:textId="77777777" w:rsidTr="00CC75C7">
        <w:tc>
          <w:tcPr>
            <w:tcW w:w="2160" w:type="dxa"/>
          </w:tcPr>
          <w:p w14:paraId="67A84EB4" w14:textId="77777777" w:rsidR="002818D5" w:rsidRDefault="002818D5" w:rsidP="006D39BC">
            <w:r>
              <w:t>2</w:t>
            </w:r>
          </w:p>
        </w:tc>
        <w:tc>
          <w:tcPr>
            <w:tcW w:w="2160" w:type="dxa"/>
          </w:tcPr>
          <w:p w14:paraId="3EE04062" w14:textId="77777777" w:rsidR="002818D5" w:rsidRDefault="002818D5" w:rsidP="006D39BC">
            <w:r>
              <w:t>A Y S G</w:t>
            </w:r>
          </w:p>
        </w:tc>
        <w:tc>
          <w:tcPr>
            <w:tcW w:w="2160" w:type="dxa"/>
          </w:tcPr>
          <w:p w14:paraId="3C12C625" w14:textId="77777777" w:rsidR="002818D5" w:rsidRDefault="002818D5" w:rsidP="006D39BC">
            <w:r>
              <w:t>0.12</w:t>
            </w:r>
          </w:p>
        </w:tc>
        <w:tc>
          <w:tcPr>
            <w:tcW w:w="2160" w:type="dxa"/>
          </w:tcPr>
          <w:p w14:paraId="37484B6A" w14:textId="77777777" w:rsidR="002818D5" w:rsidRDefault="002818D5" w:rsidP="006D39BC">
            <w:r>
              <w:t>0.210</w:t>
            </w:r>
          </w:p>
        </w:tc>
      </w:tr>
      <w:tr w:rsidR="002818D5" w14:paraId="6CB94419" w14:textId="77777777" w:rsidTr="00CC75C7">
        <w:tc>
          <w:tcPr>
            <w:tcW w:w="2160" w:type="dxa"/>
          </w:tcPr>
          <w:p w14:paraId="72F0A9E2" w14:textId="77777777" w:rsidR="002818D5" w:rsidRDefault="002818D5" w:rsidP="006D39BC">
            <w:r>
              <w:t>3</w:t>
            </w:r>
          </w:p>
        </w:tc>
        <w:tc>
          <w:tcPr>
            <w:tcW w:w="2160" w:type="dxa"/>
          </w:tcPr>
          <w:p w14:paraId="15B236B8" w14:textId="77777777" w:rsidR="002818D5" w:rsidRDefault="002818D5" w:rsidP="006D39BC">
            <w:r>
              <w:t>O Y G</w:t>
            </w:r>
          </w:p>
        </w:tc>
        <w:tc>
          <w:tcPr>
            <w:tcW w:w="2160" w:type="dxa"/>
          </w:tcPr>
          <w:p w14:paraId="70E9EECF" w14:textId="77777777" w:rsidR="002818D5" w:rsidRDefault="002818D5" w:rsidP="006D39BC">
            <w:r>
              <w:t>0.18</w:t>
            </w:r>
          </w:p>
        </w:tc>
        <w:tc>
          <w:tcPr>
            <w:tcW w:w="2160" w:type="dxa"/>
          </w:tcPr>
          <w:p w14:paraId="597B5D5B" w14:textId="77777777" w:rsidR="002818D5" w:rsidRDefault="002818D5" w:rsidP="006D39BC">
            <w:r>
              <w:t>0.315</w:t>
            </w:r>
          </w:p>
        </w:tc>
      </w:tr>
      <w:tr w:rsidR="002818D5" w14:paraId="398CED96" w14:textId="77777777" w:rsidTr="00CC75C7">
        <w:tc>
          <w:tcPr>
            <w:tcW w:w="2160" w:type="dxa"/>
          </w:tcPr>
          <w:p w14:paraId="1A765D55" w14:textId="77777777" w:rsidR="002818D5" w:rsidRDefault="002818D5" w:rsidP="006D39BC">
            <w:r>
              <w:t>4</w:t>
            </w:r>
          </w:p>
        </w:tc>
        <w:tc>
          <w:tcPr>
            <w:tcW w:w="2160" w:type="dxa"/>
          </w:tcPr>
          <w:p w14:paraId="49E74F3C" w14:textId="77777777" w:rsidR="002818D5" w:rsidRDefault="002818D5" w:rsidP="006D39BC">
            <w:r>
              <w:t>A B E G</w:t>
            </w:r>
          </w:p>
        </w:tc>
        <w:tc>
          <w:tcPr>
            <w:tcW w:w="2160" w:type="dxa"/>
          </w:tcPr>
          <w:p w14:paraId="49D783F8" w14:textId="77777777" w:rsidR="002818D5" w:rsidRDefault="002818D5" w:rsidP="006D39BC">
            <w:r>
              <w:t>0.12</w:t>
            </w:r>
          </w:p>
        </w:tc>
        <w:tc>
          <w:tcPr>
            <w:tcW w:w="2160" w:type="dxa"/>
          </w:tcPr>
          <w:p w14:paraId="6BEE8C65" w14:textId="77777777" w:rsidR="002818D5" w:rsidRDefault="002818D5" w:rsidP="006D39BC">
            <w:r>
              <w:t>0.210</w:t>
            </w:r>
          </w:p>
        </w:tc>
      </w:tr>
      <w:tr w:rsidR="002818D5" w14:paraId="1D008F8E" w14:textId="77777777" w:rsidTr="00CC75C7">
        <w:tc>
          <w:tcPr>
            <w:tcW w:w="2160" w:type="dxa"/>
          </w:tcPr>
          <w:p w14:paraId="6E8366BC" w14:textId="77777777" w:rsidR="002818D5" w:rsidRDefault="002818D5" w:rsidP="006D39BC">
            <w:r>
              <w:t>5</w:t>
            </w:r>
          </w:p>
        </w:tc>
        <w:tc>
          <w:tcPr>
            <w:tcW w:w="2160" w:type="dxa"/>
          </w:tcPr>
          <w:p w14:paraId="420932EE" w14:textId="77777777" w:rsidR="002818D5" w:rsidRDefault="002818D5" w:rsidP="006D39BC">
            <w:r>
              <w:t>A N G</w:t>
            </w:r>
          </w:p>
        </w:tc>
        <w:tc>
          <w:tcPr>
            <w:tcW w:w="2160" w:type="dxa"/>
          </w:tcPr>
          <w:p w14:paraId="75F3BF61" w14:textId="77777777" w:rsidR="002818D5" w:rsidRDefault="002818D5" w:rsidP="006D39BC">
            <w:r>
              <w:t>0.17</w:t>
            </w:r>
          </w:p>
        </w:tc>
        <w:tc>
          <w:tcPr>
            <w:tcW w:w="2160" w:type="dxa"/>
          </w:tcPr>
          <w:p w14:paraId="2301F429" w14:textId="77777777" w:rsidR="002818D5" w:rsidRDefault="002818D5" w:rsidP="006D39BC">
            <w:r>
              <w:t>0.298</w:t>
            </w:r>
          </w:p>
        </w:tc>
      </w:tr>
      <w:tr w:rsidR="002818D5" w14:paraId="1FF9C501" w14:textId="77777777" w:rsidTr="00CC75C7">
        <w:tc>
          <w:tcPr>
            <w:tcW w:w="2160" w:type="dxa"/>
          </w:tcPr>
          <w:p w14:paraId="398FF914" w14:textId="77777777" w:rsidR="002818D5" w:rsidRDefault="002818D5" w:rsidP="006D39BC">
            <w:r>
              <w:t>6</w:t>
            </w:r>
          </w:p>
        </w:tc>
        <w:tc>
          <w:tcPr>
            <w:tcW w:w="2160" w:type="dxa"/>
          </w:tcPr>
          <w:p w14:paraId="63533A79" w14:textId="77777777" w:rsidR="002818D5" w:rsidRDefault="002818D5" w:rsidP="006D39BC">
            <w:r>
              <w:t>O Z G</w:t>
            </w:r>
          </w:p>
        </w:tc>
        <w:tc>
          <w:tcPr>
            <w:tcW w:w="2160" w:type="dxa"/>
          </w:tcPr>
          <w:p w14:paraId="0AF7155E" w14:textId="77777777" w:rsidR="002818D5" w:rsidRDefault="002818D5" w:rsidP="006D39BC">
            <w:r>
              <w:t>0.17</w:t>
            </w:r>
          </w:p>
        </w:tc>
        <w:tc>
          <w:tcPr>
            <w:tcW w:w="2160" w:type="dxa"/>
          </w:tcPr>
          <w:p w14:paraId="43FB6FB8" w14:textId="77777777" w:rsidR="002818D5" w:rsidRDefault="002818D5" w:rsidP="006D39BC">
            <w:r>
              <w:t>0.298</w:t>
            </w:r>
          </w:p>
        </w:tc>
      </w:tr>
      <w:tr w:rsidR="002818D5" w14:paraId="2CA57C60" w14:textId="77777777" w:rsidTr="00CC75C7">
        <w:tc>
          <w:tcPr>
            <w:tcW w:w="2160" w:type="dxa"/>
          </w:tcPr>
          <w:p w14:paraId="4C078510" w14:textId="77777777" w:rsidR="002818D5" w:rsidRDefault="002818D5" w:rsidP="006D39BC">
            <w:r>
              <w:lastRenderedPageBreak/>
              <w:t>7</w:t>
            </w:r>
          </w:p>
        </w:tc>
        <w:tc>
          <w:tcPr>
            <w:tcW w:w="2160" w:type="dxa"/>
          </w:tcPr>
          <w:p w14:paraId="57889E83" w14:textId="77777777" w:rsidR="002818D5" w:rsidRDefault="002818D5" w:rsidP="006D39BC">
            <w:r>
              <w:t>O N G</w:t>
            </w:r>
          </w:p>
        </w:tc>
        <w:tc>
          <w:tcPr>
            <w:tcW w:w="2160" w:type="dxa"/>
          </w:tcPr>
          <w:p w14:paraId="2F35F06A" w14:textId="77777777" w:rsidR="002818D5" w:rsidRDefault="002818D5" w:rsidP="006D39BC">
            <w:r>
              <w:t>0.17</w:t>
            </w:r>
          </w:p>
        </w:tc>
        <w:tc>
          <w:tcPr>
            <w:tcW w:w="2160" w:type="dxa"/>
          </w:tcPr>
          <w:p w14:paraId="4354F0C5" w14:textId="77777777" w:rsidR="002818D5" w:rsidRDefault="002818D5" w:rsidP="006D39BC">
            <w:r>
              <w:t>0.298</w:t>
            </w:r>
          </w:p>
        </w:tc>
      </w:tr>
      <w:tr w:rsidR="002818D5" w14:paraId="532BB60D" w14:textId="77777777" w:rsidTr="00CC75C7">
        <w:tc>
          <w:tcPr>
            <w:tcW w:w="2160" w:type="dxa"/>
          </w:tcPr>
          <w:p w14:paraId="63A13B4D" w14:textId="77777777" w:rsidR="002818D5" w:rsidRDefault="002818D5" w:rsidP="006D39BC">
            <w:r>
              <w:t>8</w:t>
            </w:r>
          </w:p>
        </w:tc>
        <w:tc>
          <w:tcPr>
            <w:tcW w:w="2160" w:type="dxa"/>
          </w:tcPr>
          <w:p w14:paraId="3B6CDD4D" w14:textId="77777777" w:rsidR="002818D5" w:rsidRDefault="002818D5" w:rsidP="006D39BC">
            <w:r>
              <w:t>A I G</w:t>
            </w:r>
          </w:p>
        </w:tc>
        <w:tc>
          <w:tcPr>
            <w:tcW w:w="2160" w:type="dxa"/>
          </w:tcPr>
          <w:p w14:paraId="5A72B521" w14:textId="77777777" w:rsidR="002818D5" w:rsidRDefault="002818D5" w:rsidP="006D39BC">
            <w:r>
              <w:t>0.20</w:t>
            </w:r>
          </w:p>
        </w:tc>
        <w:tc>
          <w:tcPr>
            <w:tcW w:w="2160" w:type="dxa"/>
          </w:tcPr>
          <w:p w14:paraId="7D9B8AE0" w14:textId="77777777" w:rsidR="002818D5" w:rsidRDefault="002818D5" w:rsidP="006D39BC">
            <w:r>
              <w:t>0.350</w:t>
            </w:r>
          </w:p>
        </w:tc>
      </w:tr>
      <w:tr w:rsidR="002818D5" w14:paraId="6C7B64E0" w14:textId="77777777" w:rsidTr="00CC75C7">
        <w:tc>
          <w:tcPr>
            <w:tcW w:w="2160" w:type="dxa"/>
          </w:tcPr>
          <w:p w14:paraId="4EF3E22B" w14:textId="77777777" w:rsidR="002818D5" w:rsidRDefault="002818D5" w:rsidP="006D39BC">
            <w:r>
              <w:t>9</w:t>
            </w:r>
          </w:p>
        </w:tc>
        <w:tc>
          <w:tcPr>
            <w:tcW w:w="2160" w:type="dxa"/>
          </w:tcPr>
          <w:p w14:paraId="7D387677" w14:textId="77777777" w:rsidR="002818D5" w:rsidRDefault="002818D5" w:rsidP="006D39BC">
            <w:r>
              <w:t>A U G</w:t>
            </w:r>
          </w:p>
        </w:tc>
        <w:tc>
          <w:tcPr>
            <w:tcW w:w="2160" w:type="dxa"/>
          </w:tcPr>
          <w:p w14:paraId="7A25B42E" w14:textId="77777777" w:rsidR="002818D5" w:rsidRDefault="002818D5" w:rsidP="006D39BC">
            <w:r>
              <w:t>0.13</w:t>
            </w:r>
          </w:p>
        </w:tc>
        <w:tc>
          <w:tcPr>
            <w:tcW w:w="2160" w:type="dxa"/>
          </w:tcPr>
          <w:p w14:paraId="137E39C8" w14:textId="77777777" w:rsidR="002818D5" w:rsidRDefault="002818D5" w:rsidP="006D39BC">
            <w:r>
              <w:t>0.228</w:t>
            </w:r>
          </w:p>
        </w:tc>
      </w:tr>
      <w:tr w:rsidR="002818D5" w14:paraId="31FEEACE" w14:textId="77777777" w:rsidTr="00CC75C7">
        <w:tc>
          <w:tcPr>
            <w:tcW w:w="2160" w:type="dxa"/>
          </w:tcPr>
          <w:p w14:paraId="54D9E08E" w14:textId="77777777" w:rsidR="002818D5" w:rsidRDefault="002818D5" w:rsidP="006D39BC">
            <w:r>
              <w:t>10</w:t>
            </w:r>
          </w:p>
        </w:tc>
        <w:tc>
          <w:tcPr>
            <w:tcW w:w="2160" w:type="dxa"/>
          </w:tcPr>
          <w:p w14:paraId="4588991A" w14:textId="77777777" w:rsidR="002818D5" w:rsidRDefault="002818D5" w:rsidP="006D39BC">
            <w:r>
              <w:t>A D R G</w:t>
            </w:r>
          </w:p>
        </w:tc>
        <w:tc>
          <w:tcPr>
            <w:tcW w:w="2160" w:type="dxa"/>
          </w:tcPr>
          <w:p w14:paraId="24665B68" w14:textId="77777777" w:rsidR="002818D5" w:rsidRDefault="002818D5" w:rsidP="006D39BC">
            <w:r>
              <w:t>0.14</w:t>
            </w:r>
          </w:p>
        </w:tc>
        <w:tc>
          <w:tcPr>
            <w:tcW w:w="2160" w:type="dxa"/>
          </w:tcPr>
          <w:p w14:paraId="05CD59E9" w14:textId="77777777" w:rsidR="002818D5" w:rsidRDefault="002818D5" w:rsidP="006D39BC">
            <w:r>
              <w:t>0.245</w:t>
            </w:r>
          </w:p>
        </w:tc>
      </w:tr>
      <w:tr w:rsidR="002818D5" w14:paraId="1AABA9F6" w14:textId="77777777" w:rsidTr="00CC75C7">
        <w:tc>
          <w:tcPr>
            <w:tcW w:w="2160" w:type="dxa"/>
          </w:tcPr>
          <w:p w14:paraId="1B82AC4B" w14:textId="77777777" w:rsidR="002818D5" w:rsidRDefault="002818D5" w:rsidP="006D39BC">
            <w:r>
              <w:t>11</w:t>
            </w:r>
          </w:p>
        </w:tc>
        <w:tc>
          <w:tcPr>
            <w:tcW w:w="2160" w:type="dxa"/>
          </w:tcPr>
          <w:p w14:paraId="7F186959" w14:textId="77777777" w:rsidR="002818D5" w:rsidRDefault="002818D5" w:rsidP="006D39BC">
            <w:r>
              <w:t>A T G</w:t>
            </w:r>
          </w:p>
        </w:tc>
        <w:tc>
          <w:tcPr>
            <w:tcW w:w="2160" w:type="dxa"/>
          </w:tcPr>
          <w:p w14:paraId="668E6CB2" w14:textId="77777777" w:rsidR="002818D5" w:rsidRDefault="002818D5" w:rsidP="006D39BC">
            <w:r>
              <w:t>0.14</w:t>
            </w:r>
          </w:p>
        </w:tc>
        <w:tc>
          <w:tcPr>
            <w:tcW w:w="2160" w:type="dxa"/>
          </w:tcPr>
          <w:p w14:paraId="00ECE221" w14:textId="77777777" w:rsidR="002818D5" w:rsidRDefault="002818D5" w:rsidP="006D39BC">
            <w:r>
              <w:t>0.245</w:t>
            </w:r>
          </w:p>
        </w:tc>
      </w:tr>
      <w:tr w:rsidR="002818D5" w14:paraId="61537A34" w14:textId="77777777" w:rsidTr="00CC75C7">
        <w:tc>
          <w:tcPr>
            <w:tcW w:w="2160" w:type="dxa"/>
          </w:tcPr>
          <w:p w14:paraId="46A40F05" w14:textId="77777777" w:rsidR="002818D5" w:rsidRDefault="002818D5" w:rsidP="006D39BC">
            <w:r>
              <w:t>12</w:t>
            </w:r>
          </w:p>
        </w:tc>
        <w:tc>
          <w:tcPr>
            <w:tcW w:w="2160" w:type="dxa"/>
          </w:tcPr>
          <w:p w14:paraId="1EE11131" w14:textId="77777777" w:rsidR="002818D5" w:rsidRDefault="002818D5" w:rsidP="006D39BC">
            <w:r>
              <w:t>O M G</w:t>
            </w:r>
          </w:p>
        </w:tc>
        <w:tc>
          <w:tcPr>
            <w:tcW w:w="2160" w:type="dxa"/>
          </w:tcPr>
          <w:p w14:paraId="3B5D42D8" w14:textId="77777777" w:rsidR="002818D5" w:rsidRDefault="002818D5" w:rsidP="006D39BC">
            <w:r>
              <w:t>0.13</w:t>
            </w:r>
          </w:p>
        </w:tc>
        <w:tc>
          <w:tcPr>
            <w:tcW w:w="2160" w:type="dxa"/>
          </w:tcPr>
          <w:p w14:paraId="03DA1B3C" w14:textId="77777777" w:rsidR="002818D5" w:rsidRDefault="002818D5" w:rsidP="006D39BC">
            <w:r>
              <w:t>0.228</w:t>
            </w:r>
          </w:p>
        </w:tc>
      </w:tr>
      <w:tr w:rsidR="002818D5" w14:paraId="5715F289" w14:textId="77777777" w:rsidTr="00CC75C7">
        <w:tc>
          <w:tcPr>
            <w:tcW w:w="2160" w:type="dxa"/>
          </w:tcPr>
          <w:p w14:paraId="5A83F993" w14:textId="77777777" w:rsidR="002818D5" w:rsidRDefault="002818D5" w:rsidP="006D39BC">
            <w:r>
              <w:t>13</w:t>
            </w:r>
          </w:p>
        </w:tc>
        <w:tc>
          <w:tcPr>
            <w:tcW w:w="2160" w:type="dxa"/>
          </w:tcPr>
          <w:p w14:paraId="140A70B2" w14:textId="77777777" w:rsidR="002818D5" w:rsidRDefault="002818D5" w:rsidP="006D39BC">
            <w:r>
              <w:t>G M G</w:t>
            </w:r>
          </w:p>
        </w:tc>
        <w:tc>
          <w:tcPr>
            <w:tcW w:w="2160" w:type="dxa"/>
          </w:tcPr>
          <w:p w14:paraId="6F920C8A" w14:textId="77777777" w:rsidR="002818D5" w:rsidRDefault="002818D5" w:rsidP="006D39BC">
            <w:r>
              <w:t>0.12</w:t>
            </w:r>
          </w:p>
        </w:tc>
        <w:tc>
          <w:tcPr>
            <w:tcW w:w="2160" w:type="dxa"/>
          </w:tcPr>
          <w:p w14:paraId="50F80CF5" w14:textId="77777777" w:rsidR="002818D5" w:rsidRDefault="002818D5" w:rsidP="006D39BC">
            <w:r>
              <w:t>0.210</w:t>
            </w:r>
          </w:p>
        </w:tc>
      </w:tr>
      <w:tr w:rsidR="002818D5" w14:paraId="69CE966C" w14:textId="77777777" w:rsidTr="00CC75C7">
        <w:tc>
          <w:tcPr>
            <w:tcW w:w="2160" w:type="dxa"/>
          </w:tcPr>
          <w:p w14:paraId="00066251" w14:textId="77777777" w:rsidR="002818D5" w:rsidRDefault="002818D5" w:rsidP="006D39BC">
            <w:r>
              <w:t>14</w:t>
            </w:r>
          </w:p>
        </w:tc>
        <w:tc>
          <w:tcPr>
            <w:tcW w:w="2160" w:type="dxa"/>
          </w:tcPr>
          <w:p w14:paraId="0FF66A29" w14:textId="77777777" w:rsidR="002818D5" w:rsidRDefault="002818D5" w:rsidP="006D39BC">
            <w:r>
              <w:t>R R G</w:t>
            </w:r>
          </w:p>
        </w:tc>
        <w:tc>
          <w:tcPr>
            <w:tcW w:w="2160" w:type="dxa"/>
          </w:tcPr>
          <w:p w14:paraId="7B536B3A" w14:textId="77777777" w:rsidR="002818D5" w:rsidRDefault="002818D5" w:rsidP="006D39BC">
            <w:r>
              <w:t>0.13</w:t>
            </w:r>
          </w:p>
        </w:tc>
        <w:tc>
          <w:tcPr>
            <w:tcW w:w="2160" w:type="dxa"/>
          </w:tcPr>
          <w:p w14:paraId="4A4590BE" w14:textId="77777777" w:rsidR="002818D5" w:rsidRDefault="002818D5" w:rsidP="006D39BC">
            <w:r>
              <w:t>0.228</w:t>
            </w:r>
          </w:p>
        </w:tc>
      </w:tr>
      <w:tr w:rsidR="002818D5" w14:paraId="6E29A521" w14:textId="77777777" w:rsidTr="00CC75C7">
        <w:tc>
          <w:tcPr>
            <w:tcW w:w="2160" w:type="dxa"/>
          </w:tcPr>
          <w:p w14:paraId="356D9F6D" w14:textId="77777777" w:rsidR="002818D5" w:rsidRDefault="002818D5" w:rsidP="006D39BC">
            <w:r>
              <w:t>15</w:t>
            </w:r>
          </w:p>
        </w:tc>
        <w:tc>
          <w:tcPr>
            <w:tcW w:w="2160" w:type="dxa"/>
          </w:tcPr>
          <w:p w14:paraId="4989EB8B" w14:textId="77777777" w:rsidR="002818D5" w:rsidRDefault="002818D5" w:rsidP="006D39BC">
            <w:r>
              <w:t>O B G</w:t>
            </w:r>
          </w:p>
        </w:tc>
        <w:tc>
          <w:tcPr>
            <w:tcW w:w="2160" w:type="dxa"/>
          </w:tcPr>
          <w:p w14:paraId="4B1E1042" w14:textId="77777777" w:rsidR="002818D5" w:rsidRDefault="002818D5" w:rsidP="006D39BC">
            <w:r>
              <w:t>0.12</w:t>
            </w:r>
          </w:p>
        </w:tc>
        <w:tc>
          <w:tcPr>
            <w:tcW w:w="2160" w:type="dxa"/>
          </w:tcPr>
          <w:p w14:paraId="5B6288DE" w14:textId="77777777" w:rsidR="002818D5" w:rsidRDefault="002818D5" w:rsidP="006D39BC">
            <w:r>
              <w:t>0.210</w:t>
            </w:r>
          </w:p>
        </w:tc>
      </w:tr>
    </w:tbl>
    <w:p w14:paraId="1D5E5009" w14:textId="77777777" w:rsidR="002818D5" w:rsidRDefault="002818D5"/>
    <w:p w14:paraId="5F28F630" w14:textId="77777777" w:rsidR="002818D5" w:rsidRPr="00B34C8F" w:rsidRDefault="002818D5" w:rsidP="002818D5">
      <w:pPr>
        <w:spacing w:line="360" w:lineRule="auto"/>
        <w:jc w:val="both"/>
        <w:rPr>
          <w:rFonts w:ascii="Times New Roman" w:hAnsi="Times New Roman"/>
          <w:sz w:val="24"/>
          <w:szCs w:val="24"/>
        </w:rPr>
      </w:pPr>
      <w:r w:rsidRPr="00B34C8F">
        <w:rPr>
          <w:rFonts w:ascii="Times New Roman" w:hAnsi="Times New Roman"/>
          <w:sz w:val="24"/>
          <w:szCs w:val="24"/>
        </w:rPr>
        <w:t>Table 2 illustrates the total effective dose rate of radiation exposure across fifteen automobile mechanical workshop locations, expressed as Annual Effective Dose (AED). The mean dose rates range from 0.12 to 0.20 µSv/h, translating into AED values between 0.210 and 0.350 mSv/yr. The lowest AED (0.210 mSv/yr) was recorded at DMG, AYSG, ABEG, GMG, and OBG, while the highest occurred at AIG (0.350 mSv/yr). Intermediate values such as 0.298 mSv/yr (ANG, OZG, ONG) and 0.245 mSv/yr (ADRG, ATG) suggest moderate variations in exposure levels. Overall, all measured AEDs remain well below the International Commission on Radiological Protection (ICRP) recommended public exposure limit of 1.0 mSv/yr, indicating that the radiation levels in these workshops do not pose significant health risks. The slight differences among locations may be attributed to environmental factors, building materials, and workshop activities, highlighting the importance of continuous monitoring for occupational safety.</w:t>
      </w:r>
    </w:p>
    <w:p w14:paraId="687896E8" w14:textId="77777777" w:rsidR="002818D5" w:rsidRDefault="002818D5"/>
    <w:p w14:paraId="5FC541D6" w14:textId="77777777" w:rsidR="002818D5" w:rsidRPr="00C83A01" w:rsidRDefault="002818D5" w:rsidP="002818D5">
      <w:pPr>
        <w:spacing w:after="200" w:line="276" w:lineRule="auto"/>
      </w:pPr>
      <w:r w:rsidRPr="00C83A01">
        <w:rPr>
          <w:noProof/>
        </w:rPr>
        <w:drawing>
          <wp:inline distT="0" distB="0" distL="0" distR="0" wp14:anchorId="7A91E700" wp14:editId="4A57E210">
            <wp:extent cx="5486400" cy="2743200"/>
            <wp:effectExtent l="0" t="0" r="0" b="0"/>
            <wp:docPr id="9590677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2743200"/>
                    </a:xfrm>
                    <a:prstGeom prst="rect">
                      <a:avLst/>
                    </a:prstGeom>
                    <a:noFill/>
                    <a:ln>
                      <a:noFill/>
                    </a:ln>
                  </pic:spPr>
                </pic:pic>
              </a:graphicData>
            </a:graphic>
          </wp:inline>
        </w:drawing>
      </w:r>
    </w:p>
    <w:p w14:paraId="2D7B9F10" w14:textId="77777777" w:rsidR="002818D5" w:rsidRPr="00CC75C7" w:rsidRDefault="002818D5" w:rsidP="002818D5">
      <w:pPr>
        <w:rPr>
          <w:rFonts w:ascii="Times New Roman" w:hAnsi="Times New Roman"/>
          <w:b/>
          <w:bCs/>
          <w:sz w:val="24"/>
          <w:szCs w:val="24"/>
        </w:rPr>
      </w:pPr>
      <w:r w:rsidRPr="00CC75C7">
        <w:rPr>
          <w:rFonts w:ascii="Times New Roman" w:hAnsi="Times New Roman"/>
          <w:b/>
          <w:bCs/>
          <w:sz w:val="24"/>
          <w:szCs w:val="24"/>
        </w:rPr>
        <w:t>Figure 1: Mean Dose Rate and Annual Effective Dose across locations</w:t>
      </w:r>
    </w:p>
    <w:p w14:paraId="05F56F27" w14:textId="77777777" w:rsidR="002818D5" w:rsidRDefault="002818D5"/>
    <w:p w14:paraId="609BCF19" w14:textId="77777777" w:rsidR="002818D5" w:rsidRDefault="002818D5"/>
    <w:p w14:paraId="70D637EF" w14:textId="31E05F18" w:rsidR="002818D5" w:rsidRPr="00CC75C7" w:rsidRDefault="002818D5" w:rsidP="00CC75C7">
      <w:pPr>
        <w:spacing w:line="360" w:lineRule="auto"/>
        <w:jc w:val="both"/>
        <w:rPr>
          <w:rFonts w:ascii="Times New Roman" w:hAnsi="Times New Roman"/>
          <w:sz w:val="24"/>
          <w:szCs w:val="24"/>
        </w:rPr>
      </w:pPr>
      <w:r w:rsidRPr="002818D5">
        <w:rPr>
          <w:rFonts w:ascii="Times New Roman" w:hAnsi="Times New Roman"/>
          <w:sz w:val="24"/>
          <w:szCs w:val="24"/>
        </w:rPr>
        <w:t>The bar chart</w:t>
      </w:r>
      <w:r>
        <w:rPr>
          <w:rFonts w:ascii="Times New Roman" w:hAnsi="Times New Roman"/>
          <w:sz w:val="24"/>
          <w:szCs w:val="24"/>
        </w:rPr>
        <w:t xml:space="preserve"> from figure 1,</w:t>
      </w:r>
      <w:r w:rsidRPr="002818D5">
        <w:rPr>
          <w:rFonts w:ascii="Times New Roman" w:hAnsi="Times New Roman"/>
          <w:sz w:val="24"/>
          <w:szCs w:val="24"/>
        </w:rPr>
        <w:t xml:space="preserve"> illustrates a comparison between Mean Dose Rate (µSv/h) and Annual Effective Dose (AED, mSv/yr) across fifteen automobile mechanical workshops in </w:t>
      </w:r>
      <w:r w:rsidRPr="002818D5">
        <w:rPr>
          <w:rFonts w:ascii="Times New Roman" w:hAnsi="Times New Roman"/>
          <w:sz w:val="24"/>
          <w:szCs w:val="24"/>
        </w:rPr>
        <w:lastRenderedPageBreak/>
        <w:t>Zaria metropolis. Each site is represented by paired bars, enabling straightforward evaluation of radiation exposure levels. Elevated values were observed at AIG and OYG, indicating relatively higher environmental radiation, while DMG, AYSG, and ABEG showed uniform readings, suggesting consistent exposure conditions. Overall, the chart highlights spatial variations and consistencies in radiation levels across the study locations, providing a clear visual representation of potential radiological differences within the investigated workshop environments.</w:t>
      </w:r>
    </w:p>
    <w:p w14:paraId="7CFDDAF3" w14:textId="77777777" w:rsidR="002818D5" w:rsidRDefault="002818D5" w:rsidP="002818D5">
      <w:r w:rsidRPr="003B449F">
        <w:rPr>
          <w:noProof/>
        </w:rPr>
        <w:drawing>
          <wp:inline distT="0" distB="0" distL="0" distR="0" wp14:anchorId="041F774C" wp14:editId="3BD03AD3">
            <wp:extent cx="5486400" cy="1967230"/>
            <wp:effectExtent l="0" t="0" r="0" b="0"/>
            <wp:docPr id="5925105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6105" cy="1988638"/>
                    </a:xfrm>
                    <a:prstGeom prst="rect">
                      <a:avLst/>
                    </a:prstGeom>
                    <a:noFill/>
                    <a:ln>
                      <a:noFill/>
                    </a:ln>
                  </pic:spPr>
                </pic:pic>
              </a:graphicData>
            </a:graphic>
          </wp:inline>
        </w:drawing>
      </w:r>
    </w:p>
    <w:p w14:paraId="31C59630" w14:textId="77777777" w:rsidR="002818D5" w:rsidRPr="00CC75C7" w:rsidRDefault="002818D5" w:rsidP="002818D5">
      <w:pPr>
        <w:rPr>
          <w:rFonts w:ascii="Times New Roman" w:hAnsi="Times New Roman"/>
          <w:b/>
          <w:bCs/>
          <w:sz w:val="24"/>
          <w:szCs w:val="24"/>
        </w:rPr>
      </w:pPr>
      <w:r w:rsidRPr="00CC75C7">
        <w:rPr>
          <w:rFonts w:ascii="Times New Roman" w:hAnsi="Times New Roman"/>
          <w:b/>
          <w:bCs/>
          <w:sz w:val="24"/>
          <w:szCs w:val="24"/>
        </w:rPr>
        <w:t>Figure 2: Comparison of AED values to World Standard Limit</w:t>
      </w:r>
    </w:p>
    <w:p w14:paraId="13CF6544" w14:textId="77777777" w:rsidR="000C3FD8" w:rsidRDefault="000C3FD8" w:rsidP="002818D5">
      <w:pPr>
        <w:rPr>
          <w:b/>
          <w:bCs/>
        </w:rPr>
      </w:pPr>
    </w:p>
    <w:p w14:paraId="622D4EA5" w14:textId="7B4AC0A7" w:rsidR="000C3FD8" w:rsidRPr="000C3FD8" w:rsidRDefault="000C3FD8" w:rsidP="000C3FD8">
      <w:pPr>
        <w:spacing w:line="360" w:lineRule="auto"/>
        <w:rPr>
          <w:rFonts w:ascii="Times New Roman" w:hAnsi="Times New Roman"/>
          <w:sz w:val="24"/>
          <w:szCs w:val="24"/>
        </w:rPr>
      </w:pPr>
      <w:r>
        <w:rPr>
          <w:rFonts w:ascii="Times New Roman" w:hAnsi="Times New Roman"/>
          <w:sz w:val="24"/>
          <w:szCs w:val="24"/>
        </w:rPr>
        <w:t xml:space="preserve">Figure 2, </w:t>
      </w:r>
      <w:r w:rsidRPr="000C3FD8">
        <w:rPr>
          <w:rFonts w:ascii="Times New Roman" w:hAnsi="Times New Roman"/>
          <w:sz w:val="24"/>
          <w:szCs w:val="24"/>
        </w:rPr>
        <w:t>depicts AED variations across fifteen locations, with all values well below the global safety threshold of 1 mSv/yr. AIG records the highest AED at 0.350 mSv/yr, while DMG, AYSG, and OBG show the lowest at 0.210 mSv/yr. The clear gap between the blue data line and the yellow dashed standard emphasizes the reassuringly low exposure levels across all surveyed areas, reflecting minimal radiological health risks within the studied workshops.</w:t>
      </w:r>
    </w:p>
    <w:p w14:paraId="68954550" w14:textId="7299161B" w:rsidR="002818D5" w:rsidRPr="000C3FD8" w:rsidRDefault="000C3FD8">
      <w:pPr>
        <w:rPr>
          <w:rFonts w:ascii="Times New Roman" w:hAnsi="Times New Roman"/>
          <w:b/>
          <w:bCs/>
          <w:sz w:val="24"/>
          <w:szCs w:val="24"/>
        </w:rPr>
      </w:pPr>
      <w:r w:rsidRPr="000C3FD8">
        <w:rPr>
          <w:rFonts w:ascii="Times New Roman" w:hAnsi="Times New Roman"/>
          <w:b/>
          <w:bCs/>
          <w:sz w:val="24"/>
          <w:szCs w:val="24"/>
        </w:rPr>
        <w:t>Table 3: Mean Annual Effective Dose (AED) with Other Related Studies</w:t>
      </w:r>
    </w:p>
    <w:tbl>
      <w:tblPr>
        <w:tblStyle w:val="PlainTable2"/>
        <w:tblW w:w="0" w:type="auto"/>
        <w:tblLook w:val="0620" w:firstRow="1" w:lastRow="0" w:firstColumn="0" w:lastColumn="0" w:noHBand="1" w:noVBand="1"/>
      </w:tblPr>
      <w:tblGrid>
        <w:gridCol w:w="700"/>
        <w:gridCol w:w="2729"/>
        <w:gridCol w:w="1816"/>
        <w:gridCol w:w="1681"/>
        <w:gridCol w:w="1704"/>
      </w:tblGrid>
      <w:tr w:rsidR="000C3FD8" w14:paraId="7DF8FA7C" w14:textId="77777777" w:rsidTr="00462A4B">
        <w:trPr>
          <w:cnfStyle w:val="100000000000" w:firstRow="1" w:lastRow="0" w:firstColumn="0" w:lastColumn="0" w:oddVBand="0" w:evenVBand="0" w:oddHBand="0" w:evenHBand="0" w:firstRowFirstColumn="0" w:firstRowLastColumn="0" w:lastRowFirstColumn="0" w:lastRowLastColumn="0"/>
        </w:trPr>
        <w:tc>
          <w:tcPr>
            <w:tcW w:w="700" w:type="dxa"/>
          </w:tcPr>
          <w:p w14:paraId="4F34D914"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S/No</w:t>
            </w:r>
          </w:p>
        </w:tc>
        <w:tc>
          <w:tcPr>
            <w:tcW w:w="2729" w:type="dxa"/>
          </w:tcPr>
          <w:p w14:paraId="3978AFAE"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Location / Context</w:t>
            </w:r>
          </w:p>
        </w:tc>
        <w:tc>
          <w:tcPr>
            <w:tcW w:w="1816" w:type="dxa"/>
          </w:tcPr>
          <w:p w14:paraId="65F870C3"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Region / Setting</w:t>
            </w:r>
          </w:p>
        </w:tc>
        <w:tc>
          <w:tcPr>
            <w:tcW w:w="1681" w:type="dxa"/>
          </w:tcPr>
          <w:p w14:paraId="070ADEC8"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Mean Annual Effective Dose (mSv/yr)</w:t>
            </w:r>
          </w:p>
        </w:tc>
        <w:tc>
          <w:tcPr>
            <w:tcW w:w="1704" w:type="dxa"/>
          </w:tcPr>
          <w:p w14:paraId="47114E63" w14:textId="77777777" w:rsidR="000C3FD8" w:rsidRDefault="000C3FD8" w:rsidP="006D39BC">
            <w:r>
              <w:t>Reference</w:t>
            </w:r>
          </w:p>
        </w:tc>
      </w:tr>
      <w:tr w:rsidR="000C3FD8" w14:paraId="67457968" w14:textId="77777777" w:rsidTr="00462A4B">
        <w:tc>
          <w:tcPr>
            <w:tcW w:w="700" w:type="dxa"/>
          </w:tcPr>
          <w:p w14:paraId="53AE7509"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1</w:t>
            </w:r>
          </w:p>
        </w:tc>
        <w:tc>
          <w:tcPr>
            <w:tcW w:w="2729" w:type="dxa"/>
          </w:tcPr>
          <w:p w14:paraId="66CCBC33"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Zaria (automobile workshops)</w:t>
            </w:r>
          </w:p>
        </w:tc>
        <w:tc>
          <w:tcPr>
            <w:tcW w:w="1816" w:type="dxa"/>
          </w:tcPr>
          <w:p w14:paraId="575CD9E0"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North Central Nigeria</w:t>
            </w:r>
          </w:p>
        </w:tc>
        <w:tc>
          <w:tcPr>
            <w:tcW w:w="1681" w:type="dxa"/>
          </w:tcPr>
          <w:p w14:paraId="201F4F0D"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0.210 – 0.350</w:t>
            </w:r>
          </w:p>
        </w:tc>
        <w:tc>
          <w:tcPr>
            <w:tcW w:w="1704" w:type="dxa"/>
          </w:tcPr>
          <w:p w14:paraId="6C28760B" w14:textId="77777777" w:rsidR="000C3FD8" w:rsidRDefault="000C3FD8" w:rsidP="006D39BC">
            <w:r>
              <w:t>Present Study</w:t>
            </w:r>
          </w:p>
        </w:tc>
      </w:tr>
      <w:tr w:rsidR="000C3FD8" w14:paraId="22D82E4C" w14:textId="77777777" w:rsidTr="00462A4B">
        <w:tc>
          <w:tcPr>
            <w:tcW w:w="700" w:type="dxa"/>
          </w:tcPr>
          <w:p w14:paraId="6F4F7CE5"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2</w:t>
            </w:r>
          </w:p>
        </w:tc>
        <w:tc>
          <w:tcPr>
            <w:tcW w:w="2729" w:type="dxa"/>
          </w:tcPr>
          <w:p w14:paraId="57774F88"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Kabba (Kogi State)</w:t>
            </w:r>
          </w:p>
        </w:tc>
        <w:tc>
          <w:tcPr>
            <w:tcW w:w="1816" w:type="dxa"/>
          </w:tcPr>
          <w:p w14:paraId="1732F571"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North Central Nigeria</w:t>
            </w:r>
          </w:p>
        </w:tc>
        <w:tc>
          <w:tcPr>
            <w:tcW w:w="1681" w:type="dxa"/>
          </w:tcPr>
          <w:p w14:paraId="18FEAC25"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0.75 – 1.09</w:t>
            </w:r>
          </w:p>
        </w:tc>
        <w:tc>
          <w:tcPr>
            <w:tcW w:w="1704" w:type="dxa"/>
          </w:tcPr>
          <w:p w14:paraId="7D1ED4D7" w14:textId="77777777" w:rsidR="000C3FD8" w:rsidRDefault="000C3FD8" w:rsidP="006D39BC">
            <w:r>
              <w:t>Bello et al., 2021</w:t>
            </w:r>
          </w:p>
        </w:tc>
      </w:tr>
      <w:tr w:rsidR="000C3FD8" w14:paraId="24D3BF14" w14:textId="77777777" w:rsidTr="00462A4B">
        <w:tc>
          <w:tcPr>
            <w:tcW w:w="700" w:type="dxa"/>
          </w:tcPr>
          <w:p w14:paraId="5A74EC8E"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3</w:t>
            </w:r>
          </w:p>
        </w:tc>
        <w:tc>
          <w:tcPr>
            <w:tcW w:w="2729" w:type="dxa"/>
          </w:tcPr>
          <w:p w14:paraId="52A3E059"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Olusosun &amp; Soluos III dumpsites (environmental)</w:t>
            </w:r>
          </w:p>
        </w:tc>
        <w:tc>
          <w:tcPr>
            <w:tcW w:w="1816" w:type="dxa"/>
          </w:tcPr>
          <w:p w14:paraId="73E28B39"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Lagos, Southwest Nigeria</w:t>
            </w:r>
          </w:p>
        </w:tc>
        <w:tc>
          <w:tcPr>
            <w:tcW w:w="1681" w:type="dxa"/>
          </w:tcPr>
          <w:p w14:paraId="55040231"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0.065 (Soluos III), 0.092 (Olusosun)</w:t>
            </w:r>
          </w:p>
        </w:tc>
        <w:tc>
          <w:tcPr>
            <w:tcW w:w="1704" w:type="dxa"/>
          </w:tcPr>
          <w:p w14:paraId="15D4EEA4" w14:textId="77777777" w:rsidR="000C3FD8" w:rsidRDefault="000C3FD8" w:rsidP="006D39BC">
            <w:r>
              <w:t>Ademola et al., 2023</w:t>
            </w:r>
          </w:p>
        </w:tc>
      </w:tr>
      <w:tr w:rsidR="000C3FD8" w14:paraId="299222C9" w14:textId="77777777" w:rsidTr="00462A4B">
        <w:tc>
          <w:tcPr>
            <w:tcW w:w="700" w:type="dxa"/>
          </w:tcPr>
          <w:p w14:paraId="6A563044"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4</w:t>
            </w:r>
          </w:p>
        </w:tc>
        <w:tc>
          <w:tcPr>
            <w:tcW w:w="2729" w:type="dxa"/>
          </w:tcPr>
          <w:p w14:paraId="07867DEB"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Indoor hospital departments (pharmacy, radiology, radiotherapy)</w:t>
            </w:r>
          </w:p>
        </w:tc>
        <w:tc>
          <w:tcPr>
            <w:tcW w:w="1816" w:type="dxa"/>
          </w:tcPr>
          <w:p w14:paraId="4D995259"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Gombe, Northeast Nigeria</w:t>
            </w:r>
          </w:p>
        </w:tc>
        <w:tc>
          <w:tcPr>
            <w:tcW w:w="1681" w:type="dxa"/>
          </w:tcPr>
          <w:p w14:paraId="0DF90018"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0.379–0.437 (average ≈ 0.416)</w:t>
            </w:r>
          </w:p>
        </w:tc>
        <w:tc>
          <w:tcPr>
            <w:tcW w:w="1704" w:type="dxa"/>
          </w:tcPr>
          <w:p w14:paraId="24855171" w14:textId="77777777" w:rsidR="000C3FD8" w:rsidRDefault="000C3FD8" w:rsidP="006D39BC">
            <w:r>
              <w:t>Abdulkareem et al., 2024</w:t>
            </w:r>
          </w:p>
        </w:tc>
      </w:tr>
      <w:tr w:rsidR="000C3FD8" w14:paraId="1CAC2421" w14:textId="77777777" w:rsidTr="00462A4B">
        <w:tc>
          <w:tcPr>
            <w:tcW w:w="700" w:type="dxa"/>
          </w:tcPr>
          <w:p w14:paraId="664D3E7A"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5</w:t>
            </w:r>
          </w:p>
        </w:tc>
        <w:tc>
          <w:tcPr>
            <w:tcW w:w="2729" w:type="dxa"/>
          </w:tcPr>
          <w:p w14:paraId="3C62B6C5"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Natural ionizing radiation at tertiary institutions</w:t>
            </w:r>
          </w:p>
        </w:tc>
        <w:tc>
          <w:tcPr>
            <w:tcW w:w="1816" w:type="dxa"/>
          </w:tcPr>
          <w:p w14:paraId="320A8559"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Lapai &amp; Zungeru, Niger State</w:t>
            </w:r>
          </w:p>
        </w:tc>
        <w:tc>
          <w:tcPr>
            <w:tcW w:w="1681" w:type="dxa"/>
          </w:tcPr>
          <w:p w14:paraId="58AA82BE"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 0.27</w:t>
            </w:r>
          </w:p>
        </w:tc>
        <w:tc>
          <w:tcPr>
            <w:tcW w:w="1704" w:type="dxa"/>
          </w:tcPr>
          <w:p w14:paraId="2066A3F1" w14:textId="77777777" w:rsidR="000C3FD8" w:rsidRDefault="000C3FD8" w:rsidP="006D39BC">
            <w:r>
              <w:t>Usman et al., 2021</w:t>
            </w:r>
          </w:p>
        </w:tc>
      </w:tr>
      <w:tr w:rsidR="000C3FD8" w14:paraId="4A2DFADA" w14:textId="77777777" w:rsidTr="00462A4B">
        <w:tc>
          <w:tcPr>
            <w:tcW w:w="700" w:type="dxa"/>
          </w:tcPr>
          <w:p w14:paraId="12F2B5B8"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6</w:t>
            </w:r>
          </w:p>
        </w:tc>
        <w:tc>
          <w:tcPr>
            <w:tcW w:w="2729" w:type="dxa"/>
          </w:tcPr>
          <w:p w14:paraId="0432225F"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Ambient gamma + radon in drinking water (mining area)</w:t>
            </w:r>
          </w:p>
        </w:tc>
        <w:tc>
          <w:tcPr>
            <w:tcW w:w="1816" w:type="dxa"/>
          </w:tcPr>
          <w:p w14:paraId="125D57C7"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Moro, North-Central Nigeria</w:t>
            </w:r>
          </w:p>
        </w:tc>
        <w:tc>
          <w:tcPr>
            <w:tcW w:w="1681" w:type="dxa"/>
          </w:tcPr>
          <w:p w14:paraId="21FD28CA"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Related study (not explicit AED)</w:t>
            </w:r>
          </w:p>
        </w:tc>
        <w:tc>
          <w:tcPr>
            <w:tcW w:w="1704" w:type="dxa"/>
          </w:tcPr>
          <w:p w14:paraId="08128967" w14:textId="77777777" w:rsidR="000C3FD8" w:rsidRDefault="000C3FD8" w:rsidP="006D39BC">
            <w:r>
              <w:t>Orosun et al., 2021</w:t>
            </w:r>
          </w:p>
        </w:tc>
      </w:tr>
      <w:tr w:rsidR="000C3FD8" w14:paraId="3E7A0E94" w14:textId="77777777" w:rsidTr="00462A4B">
        <w:tc>
          <w:tcPr>
            <w:tcW w:w="700" w:type="dxa"/>
          </w:tcPr>
          <w:p w14:paraId="60FD4D24"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lastRenderedPageBreak/>
              <w:t>7</w:t>
            </w:r>
          </w:p>
        </w:tc>
        <w:tc>
          <w:tcPr>
            <w:tcW w:w="2729" w:type="dxa"/>
          </w:tcPr>
          <w:p w14:paraId="70855702"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Scrap sites, mechanic &amp; wood workshops</w:t>
            </w:r>
          </w:p>
        </w:tc>
        <w:tc>
          <w:tcPr>
            <w:tcW w:w="1816" w:type="dxa"/>
          </w:tcPr>
          <w:p w14:paraId="4667EE5F"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Delta State, South-South Nigeria</w:t>
            </w:r>
          </w:p>
        </w:tc>
        <w:tc>
          <w:tcPr>
            <w:tcW w:w="1681" w:type="dxa"/>
          </w:tcPr>
          <w:p w14:paraId="1C309C17"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0.12 – 0.32</w:t>
            </w:r>
          </w:p>
        </w:tc>
        <w:tc>
          <w:tcPr>
            <w:tcW w:w="1704" w:type="dxa"/>
          </w:tcPr>
          <w:p w14:paraId="0FE0CF36" w14:textId="77777777" w:rsidR="000C3FD8" w:rsidRDefault="000C3FD8" w:rsidP="006D39BC">
            <w:r w:rsidRPr="00AA6085">
              <w:t>Ukokeno et al.,</w:t>
            </w:r>
          </w:p>
        </w:tc>
      </w:tr>
      <w:tr w:rsidR="000C3FD8" w14:paraId="4FC9CAD9" w14:textId="77777777" w:rsidTr="00462A4B">
        <w:tc>
          <w:tcPr>
            <w:tcW w:w="700" w:type="dxa"/>
          </w:tcPr>
          <w:p w14:paraId="6B8E13F0"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8</w:t>
            </w:r>
          </w:p>
        </w:tc>
        <w:tc>
          <w:tcPr>
            <w:tcW w:w="2729" w:type="dxa"/>
          </w:tcPr>
          <w:p w14:paraId="449FC5AA"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Contaminated mechanic workshop soils</w:t>
            </w:r>
          </w:p>
        </w:tc>
        <w:tc>
          <w:tcPr>
            <w:tcW w:w="1816" w:type="dxa"/>
          </w:tcPr>
          <w:p w14:paraId="406EDEC1"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Southwest Nigeria</w:t>
            </w:r>
          </w:p>
        </w:tc>
        <w:tc>
          <w:tcPr>
            <w:tcW w:w="1681" w:type="dxa"/>
          </w:tcPr>
          <w:p w14:paraId="78645D57"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 0.21 – 0.33 (derived AED)</w:t>
            </w:r>
          </w:p>
        </w:tc>
        <w:tc>
          <w:tcPr>
            <w:tcW w:w="1704" w:type="dxa"/>
          </w:tcPr>
          <w:p w14:paraId="3D5DBA88" w14:textId="77777777" w:rsidR="000C3FD8" w:rsidRDefault="000C3FD8" w:rsidP="006D39BC">
            <w:r w:rsidRPr="00CA5404">
              <w:t>Olaoye, 2023</w:t>
            </w:r>
          </w:p>
        </w:tc>
      </w:tr>
      <w:tr w:rsidR="000C3FD8" w14:paraId="606E3E74" w14:textId="77777777" w:rsidTr="00462A4B">
        <w:tc>
          <w:tcPr>
            <w:tcW w:w="700" w:type="dxa"/>
          </w:tcPr>
          <w:p w14:paraId="0B77BFB3"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9</w:t>
            </w:r>
          </w:p>
        </w:tc>
        <w:tc>
          <w:tcPr>
            <w:tcW w:w="2729" w:type="dxa"/>
          </w:tcPr>
          <w:p w14:paraId="0C01F9D7"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Indoor vs. outdoor radiation in industrial buildings</w:t>
            </w:r>
          </w:p>
        </w:tc>
        <w:tc>
          <w:tcPr>
            <w:tcW w:w="1816" w:type="dxa"/>
          </w:tcPr>
          <w:p w14:paraId="42DA6F58"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Nnewi, Southeast Nigeria</w:t>
            </w:r>
          </w:p>
        </w:tc>
        <w:tc>
          <w:tcPr>
            <w:tcW w:w="1681" w:type="dxa"/>
          </w:tcPr>
          <w:p w14:paraId="50EE4C53"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0.23 – 0.35</w:t>
            </w:r>
          </w:p>
        </w:tc>
        <w:tc>
          <w:tcPr>
            <w:tcW w:w="1704" w:type="dxa"/>
          </w:tcPr>
          <w:p w14:paraId="60F2DF52" w14:textId="77777777" w:rsidR="000C3FD8" w:rsidRDefault="000C3FD8" w:rsidP="006D39BC">
            <w:r w:rsidRPr="00C377CB">
              <w:t>Ugwuanyi et al.,</w:t>
            </w:r>
          </w:p>
        </w:tc>
      </w:tr>
      <w:tr w:rsidR="000C3FD8" w14:paraId="0C32BA19" w14:textId="77777777" w:rsidTr="00462A4B">
        <w:tc>
          <w:tcPr>
            <w:tcW w:w="700" w:type="dxa"/>
          </w:tcPr>
          <w:p w14:paraId="005ED70A"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10</w:t>
            </w:r>
          </w:p>
        </w:tc>
        <w:tc>
          <w:tcPr>
            <w:tcW w:w="2729" w:type="dxa"/>
          </w:tcPr>
          <w:p w14:paraId="516C4784"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Nationwide background radiation review</w:t>
            </w:r>
          </w:p>
        </w:tc>
        <w:tc>
          <w:tcPr>
            <w:tcW w:w="1816" w:type="dxa"/>
          </w:tcPr>
          <w:p w14:paraId="4200653A"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Nigeria (various states)</w:t>
            </w:r>
          </w:p>
        </w:tc>
        <w:tc>
          <w:tcPr>
            <w:tcW w:w="1681" w:type="dxa"/>
          </w:tcPr>
          <w:p w14:paraId="243834DE"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Range: 0.1 – 1.1</w:t>
            </w:r>
          </w:p>
        </w:tc>
        <w:tc>
          <w:tcPr>
            <w:tcW w:w="1704" w:type="dxa"/>
          </w:tcPr>
          <w:p w14:paraId="1B50F77A" w14:textId="77777777" w:rsidR="000C3FD8" w:rsidRDefault="000C3FD8" w:rsidP="006D39BC">
            <w:r w:rsidRPr="00236B1D">
              <w:t>Samaila et al., 2022</w:t>
            </w:r>
          </w:p>
        </w:tc>
      </w:tr>
      <w:tr w:rsidR="000C3FD8" w14:paraId="40DC88D6" w14:textId="77777777" w:rsidTr="00462A4B">
        <w:tc>
          <w:tcPr>
            <w:tcW w:w="700" w:type="dxa"/>
          </w:tcPr>
          <w:p w14:paraId="1119FC18"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11</w:t>
            </w:r>
          </w:p>
        </w:tc>
        <w:tc>
          <w:tcPr>
            <w:tcW w:w="2729" w:type="dxa"/>
          </w:tcPr>
          <w:p w14:paraId="2CE8E23D"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Quarry site (background radiation &amp; toxic elements)</w:t>
            </w:r>
          </w:p>
        </w:tc>
        <w:tc>
          <w:tcPr>
            <w:tcW w:w="1816" w:type="dxa"/>
          </w:tcPr>
          <w:p w14:paraId="7D3BF681"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Southeastern Nigeria</w:t>
            </w:r>
          </w:p>
        </w:tc>
        <w:tc>
          <w:tcPr>
            <w:tcW w:w="1681" w:type="dxa"/>
          </w:tcPr>
          <w:p w14:paraId="006CA37C" w14:textId="77777777" w:rsidR="000C3FD8" w:rsidRPr="007B188D" w:rsidRDefault="000C3FD8" w:rsidP="006D39BC">
            <w:pPr>
              <w:rPr>
                <w:rFonts w:ascii="Times New Roman" w:hAnsi="Times New Roman"/>
                <w:sz w:val="22"/>
                <w:szCs w:val="22"/>
              </w:rPr>
            </w:pPr>
            <w:r w:rsidRPr="007B188D">
              <w:rPr>
                <w:rFonts w:ascii="Times New Roman" w:hAnsi="Times New Roman"/>
                <w:sz w:val="22"/>
                <w:szCs w:val="22"/>
              </w:rPr>
              <w:t>≈ 0.29</w:t>
            </w:r>
          </w:p>
        </w:tc>
        <w:tc>
          <w:tcPr>
            <w:tcW w:w="1704" w:type="dxa"/>
          </w:tcPr>
          <w:p w14:paraId="62C87FD2" w14:textId="77777777" w:rsidR="000C3FD8" w:rsidRDefault="000C3FD8" w:rsidP="006D39BC">
            <w:r w:rsidRPr="00601F7F">
              <w:t>Ofomola, 2023</w:t>
            </w:r>
          </w:p>
        </w:tc>
      </w:tr>
    </w:tbl>
    <w:p w14:paraId="715B8CF9" w14:textId="77777777" w:rsidR="002818D5" w:rsidRDefault="002818D5"/>
    <w:p w14:paraId="38AA1E72" w14:textId="6BE1CBA8" w:rsidR="002818D5" w:rsidRDefault="000C3FD8" w:rsidP="000C3FD8">
      <w:pPr>
        <w:spacing w:line="360" w:lineRule="auto"/>
        <w:jc w:val="both"/>
        <w:rPr>
          <w:rFonts w:ascii="Times New Roman" w:hAnsi="Times New Roman"/>
          <w:sz w:val="24"/>
          <w:szCs w:val="24"/>
        </w:rPr>
      </w:pPr>
      <w:r w:rsidRPr="000C3FD8">
        <w:rPr>
          <w:rFonts w:ascii="Times New Roman" w:hAnsi="Times New Roman"/>
          <w:sz w:val="24"/>
          <w:szCs w:val="24"/>
        </w:rPr>
        <w:t>Table 3 presents a comparative analysis of mean annual effective doses (AED) across different Nigerian contexts. The present study in Zaria workshops (0.210–0.350 mSv/yr) shows values consistent with related investigations in mechanic and industrial environments, such as Delta State (0.12–0.32 mSv/yr) and contaminated soils in Southwest Nigeria (≈0.21–0.33 mSv/yr). Higher exposures were observed in Kabba (0.75–1.09 mSv/yr), likely due to geological formations or soil radionuclide enrichment, while lower levels were recorded at Lagos dumpsites (0.065–0.092 mSv/yr). Overall, reported AEDs fall below the ICRP recommended public exposure limit of 1 mSv/yr, indicating minimal health risks.</w:t>
      </w:r>
    </w:p>
    <w:p w14:paraId="7B86AB24" w14:textId="77777777" w:rsidR="000C3FD8" w:rsidRDefault="000C3FD8" w:rsidP="000C3FD8">
      <w:pPr>
        <w:spacing w:line="360" w:lineRule="auto"/>
        <w:jc w:val="both"/>
        <w:rPr>
          <w:rFonts w:ascii="Times New Roman" w:hAnsi="Times New Roman"/>
          <w:sz w:val="24"/>
          <w:szCs w:val="24"/>
        </w:rPr>
      </w:pPr>
    </w:p>
    <w:p w14:paraId="2B495E1D" w14:textId="07795AB4" w:rsidR="000C3FD8" w:rsidRPr="000C3FD8" w:rsidRDefault="000C3FD8" w:rsidP="000C3FD8">
      <w:pPr>
        <w:spacing w:line="360" w:lineRule="auto"/>
        <w:jc w:val="both"/>
        <w:rPr>
          <w:rFonts w:ascii="Times New Roman" w:hAnsi="Times New Roman"/>
          <w:b/>
          <w:bCs/>
          <w:sz w:val="24"/>
          <w:szCs w:val="24"/>
        </w:rPr>
      </w:pPr>
      <w:r w:rsidRPr="000C3FD8">
        <w:rPr>
          <w:rFonts w:ascii="Times New Roman" w:hAnsi="Times New Roman"/>
          <w:b/>
          <w:bCs/>
          <w:sz w:val="24"/>
          <w:szCs w:val="24"/>
        </w:rPr>
        <w:t>Conclusion</w:t>
      </w:r>
    </w:p>
    <w:p w14:paraId="763B4EF1" w14:textId="1601EB31" w:rsidR="000C3FD8" w:rsidRPr="000C3FD8" w:rsidRDefault="000C3FD8" w:rsidP="000C3FD8">
      <w:pPr>
        <w:spacing w:line="360" w:lineRule="auto"/>
        <w:jc w:val="both"/>
        <w:rPr>
          <w:rFonts w:ascii="Times New Roman" w:hAnsi="Times New Roman"/>
          <w:sz w:val="24"/>
          <w:szCs w:val="24"/>
        </w:rPr>
      </w:pPr>
      <w:r w:rsidRPr="000C3FD8">
        <w:rPr>
          <w:rFonts w:ascii="Times New Roman" w:hAnsi="Times New Roman"/>
          <w:sz w:val="24"/>
          <w:szCs w:val="24"/>
        </w:rPr>
        <w:t>This study assessed the mean dose rate and annual effective dose (AED) of ionizing radiation in automobile mechanical workshops across Zaria, Nigeria. Results revealed dose rates between 0.12 and 0.20 µSv/h, translating into AEDs of 0.210–0.350 mSv/yr, all below the ICRP public exposure limit of 1.0 mSv/yr. Comparative analysis with related studies across Nigeria confirmed consistency with global background radiation levels. Variations observed among locations may be linked to environmental conditions, soil composition, and workshop practices. Overall, findings suggest no significant radiological health risks but emphasize the need for periodic monitoring to ensure sustained radiation safety.</w:t>
      </w:r>
    </w:p>
    <w:p w14:paraId="1271009F" w14:textId="77777777" w:rsidR="007505E6" w:rsidRDefault="007505E6" w:rsidP="007505E6">
      <w:pPr>
        <w:spacing w:line="480" w:lineRule="auto"/>
        <w:jc w:val="both"/>
        <w:rPr>
          <w:rFonts w:ascii="Times New Roman" w:hAnsi="Times New Roman"/>
          <w:sz w:val="24"/>
          <w:szCs w:val="24"/>
        </w:rPr>
      </w:pPr>
      <w:r>
        <w:rPr>
          <w:rFonts w:ascii="Times New Roman" w:hAnsi="Times New Roman"/>
          <w:b/>
          <w:bCs/>
          <w:sz w:val="24"/>
          <w:szCs w:val="24"/>
        </w:rPr>
        <w:t xml:space="preserve">Acknowledgements </w:t>
      </w:r>
    </w:p>
    <w:p w14:paraId="14074787" w14:textId="77777777" w:rsidR="001E3558" w:rsidRDefault="00E46B10" w:rsidP="007505E6">
      <w:pPr>
        <w:spacing w:line="480" w:lineRule="auto"/>
        <w:jc w:val="both"/>
        <w:rPr>
          <w:rFonts w:ascii="Times New Roman" w:hAnsi="Times New Roman"/>
          <w:sz w:val="24"/>
          <w:szCs w:val="24"/>
        </w:rPr>
      </w:pPr>
      <w:r w:rsidRPr="00E46B10">
        <w:rPr>
          <w:rFonts w:ascii="Times New Roman" w:hAnsi="Times New Roman"/>
          <w:sz w:val="24"/>
          <w:szCs w:val="24"/>
        </w:rPr>
        <w:t>The authors sincerely acknowledge the Department of Physics, Ahmadu Bello University, Zaria, Nigeria, for providing the technical support and research facilities that made this study possible.</w:t>
      </w:r>
    </w:p>
    <w:p w14:paraId="4C6891F6" w14:textId="2FDEDE6A" w:rsidR="007505E6" w:rsidRDefault="007505E6" w:rsidP="007505E6">
      <w:pPr>
        <w:spacing w:line="480" w:lineRule="auto"/>
        <w:jc w:val="both"/>
        <w:rPr>
          <w:rFonts w:ascii="Times New Roman" w:hAnsi="Times New Roman"/>
          <w:sz w:val="24"/>
          <w:szCs w:val="24"/>
        </w:rPr>
      </w:pPr>
      <w:r>
        <w:rPr>
          <w:rFonts w:ascii="Times New Roman" w:hAnsi="Times New Roman"/>
          <w:b/>
          <w:bCs/>
          <w:sz w:val="24"/>
          <w:szCs w:val="24"/>
        </w:rPr>
        <w:t xml:space="preserve">Disclosure statement </w:t>
      </w:r>
    </w:p>
    <w:p w14:paraId="62B45631" w14:textId="77777777" w:rsidR="007505E6" w:rsidRDefault="007505E6" w:rsidP="007505E6">
      <w:pPr>
        <w:spacing w:line="480" w:lineRule="auto"/>
        <w:jc w:val="both"/>
        <w:rPr>
          <w:rFonts w:ascii="Times New Roman" w:hAnsi="Times New Roman"/>
          <w:sz w:val="24"/>
          <w:szCs w:val="24"/>
        </w:rPr>
      </w:pPr>
      <w:r>
        <w:rPr>
          <w:rFonts w:ascii="Times New Roman" w:hAnsi="Times New Roman"/>
          <w:sz w:val="24"/>
          <w:szCs w:val="24"/>
        </w:rPr>
        <w:t>No</w:t>
      </w:r>
      <w:r>
        <w:rPr>
          <w:rFonts w:ascii="Times New Roman" w:hAnsi="Times New Roman"/>
          <w:sz w:val="24"/>
          <w:szCs w:val="24"/>
          <w:lang w:bidi="en-US"/>
        </w:rPr>
        <w:t xml:space="preserve"> </w:t>
      </w:r>
      <w:r>
        <w:rPr>
          <w:rFonts w:ascii="Times New Roman" w:hAnsi="Times New Roman"/>
          <w:sz w:val="24"/>
          <w:szCs w:val="24"/>
        </w:rPr>
        <w:t>potential conflict of interest was reported by the author(s).</w:t>
      </w:r>
    </w:p>
    <w:p w14:paraId="5CEE9E61" w14:textId="77777777" w:rsidR="002818D5" w:rsidRDefault="002818D5"/>
    <w:p w14:paraId="0CB9E7A4" w14:textId="77777777" w:rsidR="002818D5" w:rsidRDefault="002818D5"/>
    <w:p w14:paraId="46C05D07" w14:textId="5673E60D" w:rsidR="002818D5" w:rsidRPr="0058508B" w:rsidRDefault="0058508B" w:rsidP="0058508B">
      <w:pPr>
        <w:jc w:val="both"/>
        <w:rPr>
          <w:rFonts w:ascii="Times New Roman" w:hAnsi="Times New Roman"/>
          <w:sz w:val="24"/>
          <w:szCs w:val="24"/>
        </w:rPr>
      </w:pPr>
      <w:r w:rsidRPr="0058508B">
        <w:rPr>
          <w:rFonts w:ascii="Times New Roman" w:hAnsi="Times New Roman"/>
          <w:b/>
          <w:bCs/>
          <w:sz w:val="24"/>
          <w:szCs w:val="24"/>
        </w:rPr>
        <w:lastRenderedPageBreak/>
        <w:t>REFERENCES</w:t>
      </w:r>
    </w:p>
    <w:p w14:paraId="7A73D90D" w14:textId="77777777" w:rsidR="0058508B" w:rsidRPr="0058508B" w:rsidRDefault="0058508B" w:rsidP="0058508B">
      <w:pPr>
        <w:jc w:val="both"/>
        <w:rPr>
          <w:rFonts w:ascii="Times New Roman" w:hAnsi="Times New Roman"/>
          <w:sz w:val="24"/>
          <w:szCs w:val="24"/>
        </w:rPr>
      </w:pPr>
      <w:r w:rsidRPr="0058508B">
        <w:rPr>
          <w:rFonts w:ascii="Times New Roman" w:hAnsi="Times New Roman"/>
          <w:sz w:val="24"/>
          <w:szCs w:val="24"/>
        </w:rPr>
        <w:t xml:space="preserve">Abdulkareem, I. H., Abubakar, I. S., Umar, M., &amp; Tukur, M. (2024). Assessment of annual effective dose from background ionizing radiation exposure in selected hospital departments in Gombe, Nigeria. </w:t>
      </w:r>
      <w:r w:rsidRPr="0058508B">
        <w:rPr>
          <w:rFonts w:ascii="Times New Roman" w:hAnsi="Times New Roman"/>
          <w:i/>
          <w:iCs/>
          <w:sz w:val="24"/>
          <w:szCs w:val="24"/>
        </w:rPr>
        <w:t>Radiation Physics and Chemistry, 217,</w:t>
      </w:r>
      <w:r w:rsidRPr="0058508B">
        <w:rPr>
          <w:rFonts w:ascii="Times New Roman" w:hAnsi="Times New Roman"/>
          <w:sz w:val="24"/>
          <w:szCs w:val="24"/>
        </w:rPr>
        <w:t xml:space="preserve"> 110186. </w:t>
      </w:r>
      <w:hyperlink r:id="rId6" w:tgtFrame="_new" w:history="1">
        <w:r w:rsidRPr="0058508B">
          <w:rPr>
            <w:rStyle w:val="Hyperlink"/>
            <w:rFonts w:ascii="Times New Roman" w:hAnsi="Times New Roman"/>
            <w:sz w:val="24"/>
            <w:szCs w:val="24"/>
          </w:rPr>
          <w:t>https://doi.org/10.1016/j.radphyschem.2023.110186</w:t>
        </w:r>
      </w:hyperlink>
    </w:p>
    <w:p w14:paraId="495AC9DF" w14:textId="77777777" w:rsidR="0058508B" w:rsidRPr="0058508B" w:rsidRDefault="0058508B" w:rsidP="0058508B">
      <w:pPr>
        <w:jc w:val="both"/>
        <w:rPr>
          <w:rFonts w:ascii="Times New Roman" w:hAnsi="Times New Roman"/>
          <w:sz w:val="24"/>
          <w:szCs w:val="24"/>
        </w:rPr>
      </w:pPr>
      <w:r w:rsidRPr="0058508B">
        <w:rPr>
          <w:rFonts w:ascii="Times New Roman" w:hAnsi="Times New Roman"/>
          <w:sz w:val="24"/>
          <w:szCs w:val="24"/>
        </w:rPr>
        <w:t xml:space="preserve">Ademola, J. A., Oladapo, O. M., Ajiboye, R. I., Arogunjo, A. M., &amp; Olowokere, T. A. (2023). Radiological assessment of municipal solid waste dumpsites in Lagos, Nigeria. </w:t>
      </w:r>
      <w:r w:rsidRPr="0058508B">
        <w:rPr>
          <w:rFonts w:ascii="Times New Roman" w:hAnsi="Times New Roman"/>
          <w:i/>
          <w:iCs/>
          <w:sz w:val="24"/>
          <w:szCs w:val="24"/>
        </w:rPr>
        <w:t>Journal of Environmental Radioactivity, 264,</w:t>
      </w:r>
      <w:r w:rsidRPr="0058508B">
        <w:rPr>
          <w:rFonts w:ascii="Times New Roman" w:hAnsi="Times New Roman"/>
          <w:sz w:val="24"/>
          <w:szCs w:val="24"/>
        </w:rPr>
        <w:t xml:space="preserve"> 107219. </w:t>
      </w:r>
      <w:hyperlink r:id="rId7" w:tgtFrame="_new" w:history="1">
        <w:r w:rsidRPr="0058508B">
          <w:rPr>
            <w:rStyle w:val="Hyperlink"/>
            <w:rFonts w:ascii="Times New Roman" w:hAnsi="Times New Roman"/>
            <w:sz w:val="24"/>
            <w:szCs w:val="24"/>
          </w:rPr>
          <w:t>https://doi.org/10.1016/j.jenvrad.2023.107219</w:t>
        </w:r>
      </w:hyperlink>
    </w:p>
    <w:p w14:paraId="3AFF5D7C" w14:textId="77777777" w:rsidR="0058508B" w:rsidRPr="0058508B" w:rsidRDefault="0058508B" w:rsidP="0058508B">
      <w:pPr>
        <w:jc w:val="both"/>
        <w:rPr>
          <w:rFonts w:ascii="Times New Roman" w:hAnsi="Times New Roman"/>
          <w:sz w:val="24"/>
          <w:szCs w:val="24"/>
        </w:rPr>
      </w:pPr>
      <w:r w:rsidRPr="0058508B">
        <w:rPr>
          <w:rFonts w:ascii="Times New Roman" w:hAnsi="Times New Roman"/>
          <w:sz w:val="24"/>
          <w:szCs w:val="24"/>
        </w:rPr>
        <w:t xml:space="preserve">Avwiri, G. O., Enyinna, P. I., &amp; Agbalagba, E. O. (2010). Terrestrial radiation around oil and gas facilities in Ughelli, Nigeria. </w:t>
      </w:r>
      <w:r w:rsidRPr="0058508B">
        <w:rPr>
          <w:rFonts w:ascii="Times New Roman" w:hAnsi="Times New Roman"/>
          <w:i/>
          <w:iCs/>
          <w:sz w:val="24"/>
          <w:szCs w:val="24"/>
        </w:rPr>
        <w:t>Journal of Applied Sciences and Environmental Management, 14</w:t>
      </w:r>
      <w:r w:rsidRPr="0058508B">
        <w:rPr>
          <w:rFonts w:ascii="Times New Roman" w:hAnsi="Times New Roman"/>
          <w:sz w:val="24"/>
          <w:szCs w:val="24"/>
        </w:rPr>
        <w:t xml:space="preserve">(1), 31–35. </w:t>
      </w:r>
      <w:hyperlink r:id="rId8" w:tgtFrame="_new" w:history="1">
        <w:r w:rsidRPr="0058508B">
          <w:rPr>
            <w:rStyle w:val="Hyperlink"/>
            <w:rFonts w:ascii="Times New Roman" w:hAnsi="Times New Roman"/>
            <w:sz w:val="24"/>
            <w:szCs w:val="24"/>
          </w:rPr>
          <w:t>https://doi.org/10.4314/jasem.v14i1.56564</w:t>
        </w:r>
      </w:hyperlink>
    </w:p>
    <w:p w14:paraId="71B21FFB" w14:textId="77777777" w:rsidR="0058508B" w:rsidRPr="0058508B" w:rsidRDefault="0058508B" w:rsidP="0058508B">
      <w:pPr>
        <w:jc w:val="both"/>
        <w:rPr>
          <w:rFonts w:ascii="Times New Roman" w:hAnsi="Times New Roman"/>
          <w:sz w:val="24"/>
          <w:szCs w:val="24"/>
        </w:rPr>
      </w:pPr>
      <w:r w:rsidRPr="0058508B">
        <w:rPr>
          <w:rFonts w:ascii="Times New Roman" w:hAnsi="Times New Roman"/>
          <w:sz w:val="24"/>
          <w:szCs w:val="24"/>
        </w:rPr>
        <w:t xml:space="preserve">Bello, I. A., Ige, O. O., Kure, N., &amp; Momoh, A. H. (2021). Determination of radiation dose level at Kabba College of Agriculture, Division of Agricultural Colleges, Ahmadu Bello University, Zaria. </w:t>
      </w:r>
      <w:r w:rsidRPr="0058508B">
        <w:rPr>
          <w:rFonts w:ascii="Times New Roman" w:hAnsi="Times New Roman"/>
          <w:i/>
          <w:iCs/>
          <w:sz w:val="24"/>
          <w:szCs w:val="24"/>
        </w:rPr>
        <w:t>FUDMA Journal of Sciences, 5</w:t>
      </w:r>
      <w:r w:rsidRPr="0058508B">
        <w:rPr>
          <w:rFonts w:ascii="Times New Roman" w:hAnsi="Times New Roman"/>
          <w:sz w:val="24"/>
          <w:szCs w:val="24"/>
        </w:rPr>
        <w:t>(1), 524–528.</w:t>
      </w:r>
    </w:p>
    <w:p w14:paraId="5981DA64" w14:textId="77777777" w:rsidR="0058508B" w:rsidRPr="0058508B" w:rsidRDefault="0058508B" w:rsidP="0058508B">
      <w:pPr>
        <w:jc w:val="both"/>
        <w:rPr>
          <w:rFonts w:ascii="Times New Roman" w:hAnsi="Times New Roman"/>
          <w:sz w:val="24"/>
          <w:szCs w:val="24"/>
        </w:rPr>
      </w:pPr>
      <w:r w:rsidRPr="0058508B">
        <w:rPr>
          <w:rFonts w:ascii="Times New Roman" w:hAnsi="Times New Roman"/>
          <w:sz w:val="24"/>
          <w:szCs w:val="24"/>
        </w:rPr>
        <w:t xml:space="preserve">Bello, I. A., Umar, M. A., &amp; Muhammad, A. (2021). Assessment of environmental gamma radiation dose rates in selected areas of Zaria, Nigeria. </w:t>
      </w:r>
      <w:r w:rsidRPr="0058508B">
        <w:rPr>
          <w:rFonts w:ascii="Times New Roman" w:hAnsi="Times New Roman"/>
          <w:i/>
          <w:iCs/>
          <w:sz w:val="24"/>
          <w:szCs w:val="24"/>
        </w:rPr>
        <w:t>Journal of Applied Sciences and Environmental Management, 25</w:t>
      </w:r>
      <w:r w:rsidRPr="0058508B">
        <w:rPr>
          <w:rFonts w:ascii="Times New Roman" w:hAnsi="Times New Roman"/>
          <w:sz w:val="24"/>
          <w:szCs w:val="24"/>
        </w:rPr>
        <w:t>(4), 647–652.</w:t>
      </w:r>
    </w:p>
    <w:p w14:paraId="65A4120E" w14:textId="77777777" w:rsidR="0058508B" w:rsidRPr="0058508B" w:rsidRDefault="0058508B" w:rsidP="0058508B">
      <w:pPr>
        <w:jc w:val="both"/>
        <w:rPr>
          <w:rFonts w:ascii="Times New Roman" w:hAnsi="Times New Roman"/>
          <w:sz w:val="24"/>
          <w:szCs w:val="24"/>
        </w:rPr>
      </w:pPr>
      <w:r w:rsidRPr="0058508B">
        <w:rPr>
          <w:rFonts w:ascii="Times New Roman" w:hAnsi="Times New Roman"/>
          <w:sz w:val="24"/>
          <w:szCs w:val="24"/>
        </w:rPr>
        <w:t xml:space="preserve">Ezemba, C. C., Agbo, P. U., &amp; Anoka, O. C. (2025). Evaluation of background ionizing radiation in selected communities of Anambra South, Nigeria. </w:t>
      </w:r>
      <w:r w:rsidRPr="0058508B">
        <w:rPr>
          <w:rFonts w:ascii="Times New Roman" w:hAnsi="Times New Roman"/>
          <w:i/>
          <w:iCs/>
          <w:sz w:val="24"/>
          <w:szCs w:val="24"/>
        </w:rPr>
        <w:t>Environmental Earth Sciences, 84</w:t>
      </w:r>
      <w:r w:rsidRPr="0058508B">
        <w:rPr>
          <w:rFonts w:ascii="Times New Roman" w:hAnsi="Times New Roman"/>
          <w:sz w:val="24"/>
          <w:szCs w:val="24"/>
        </w:rPr>
        <w:t>(2), 177–185.</w:t>
      </w:r>
    </w:p>
    <w:p w14:paraId="62559A38" w14:textId="77777777" w:rsidR="0058508B" w:rsidRPr="0058508B" w:rsidRDefault="0058508B" w:rsidP="0058508B">
      <w:pPr>
        <w:jc w:val="both"/>
        <w:rPr>
          <w:rFonts w:ascii="Times New Roman" w:hAnsi="Times New Roman"/>
          <w:sz w:val="24"/>
          <w:szCs w:val="24"/>
        </w:rPr>
      </w:pPr>
      <w:r w:rsidRPr="0058508B">
        <w:rPr>
          <w:rFonts w:ascii="Times New Roman" w:hAnsi="Times New Roman"/>
          <w:sz w:val="24"/>
          <w:szCs w:val="24"/>
        </w:rPr>
        <w:t xml:space="preserve">Ford, E. S. (2004). Radiation and human health: An overview. </w:t>
      </w:r>
      <w:r w:rsidRPr="0058508B">
        <w:rPr>
          <w:rFonts w:ascii="Times New Roman" w:hAnsi="Times New Roman"/>
          <w:i/>
          <w:iCs/>
          <w:sz w:val="24"/>
          <w:szCs w:val="24"/>
        </w:rPr>
        <w:t>Health Physics, 86</w:t>
      </w:r>
      <w:r w:rsidRPr="0058508B">
        <w:rPr>
          <w:rFonts w:ascii="Times New Roman" w:hAnsi="Times New Roman"/>
          <w:sz w:val="24"/>
          <w:szCs w:val="24"/>
        </w:rPr>
        <w:t xml:space="preserve">(2), 139–150. </w:t>
      </w:r>
      <w:hyperlink r:id="rId9" w:tgtFrame="_new" w:history="1">
        <w:r w:rsidRPr="0058508B">
          <w:rPr>
            <w:rStyle w:val="Hyperlink"/>
            <w:rFonts w:ascii="Times New Roman" w:hAnsi="Times New Roman"/>
            <w:sz w:val="24"/>
            <w:szCs w:val="24"/>
          </w:rPr>
          <w:t>https://doi.org/10.1097/00004032-200402000-00001</w:t>
        </w:r>
      </w:hyperlink>
    </w:p>
    <w:p w14:paraId="090A4F35" w14:textId="77777777" w:rsidR="0058508B" w:rsidRPr="0058508B" w:rsidRDefault="0058508B" w:rsidP="0058508B">
      <w:pPr>
        <w:jc w:val="both"/>
        <w:rPr>
          <w:rFonts w:ascii="Times New Roman" w:hAnsi="Times New Roman"/>
          <w:sz w:val="24"/>
          <w:szCs w:val="24"/>
        </w:rPr>
      </w:pPr>
      <w:r w:rsidRPr="0058508B">
        <w:rPr>
          <w:rFonts w:ascii="Times New Roman" w:hAnsi="Times New Roman"/>
          <w:sz w:val="24"/>
          <w:szCs w:val="24"/>
        </w:rPr>
        <w:t xml:space="preserve">Haider, S., &amp; Mahmood, Q. (2015). Health hazards of ionizing radiation and their protection: A review. </w:t>
      </w:r>
      <w:r w:rsidRPr="0058508B">
        <w:rPr>
          <w:rFonts w:ascii="Times New Roman" w:hAnsi="Times New Roman"/>
          <w:i/>
          <w:iCs/>
          <w:sz w:val="24"/>
          <w:szCs w:val="24"/>
        </w:rPr>
        <w:t>Journal of Radiation Research and Applied Sciences, 8</w:t>
      </w:r>
      <w:r w:rsidRPr="0058508B">
        <w:rPr>
          <w:rFonts w:ascii="Times New Roman" w:hAnsi="Times New Roman"/>
          <w:sz w:val="24"/>
          <w:szCs w:val="24"/>
        </w:rPr>
        <w:t xml:space="preserve">(3), 498–505. </w:t>
      </w:r>
      <w:hyperlink r:id="rId10" w:tgtFrame="_new" w:history="1">
        <w:r w:rsidRPr="0058508B">
          <w:rPr>
            <w:rStyle w:val="Hyperlink"/>
            <w:rFonts w:ascii="Times New Roman" w:hAnsi="Times New Roman"/>
            <w:sz w:val="24"/>
            <w:szCs w:val="24"/>
          </w:rPr>
          <w:t>https://doi.org/10.1016/j.jrras.2015.03.003</w:t>
        </w:r>
      </w:hyperlink>
    </w:p>
    <w:p w14:paraId="6B8D5734" w14:textId="77777777" w:rsidR="0058508B" w:rsidRPr="0058508B" w:rsidRDefault="0058508B" w:rsidP="0058508B">
      <w:pPr>
        <w:jc w:val="both"/>
        <w:rPr>
          <w:rFonts w:ascii="Times New Roman" w:hAnsi="Times New Roman"/>
          <w:sz w:val="24"/>
          <w:szCs w:val="24"/>
        </w:rPr>
      </w:pPr>
      <w:r w:rsidRPr="0058508B">
        <w:rPr>
          <w:rFonts w:ascii="Times New Roman" w:hAnsi="Times New Roman"/>
          <w:sz w:val="24"/>
          <w:szCs w:val="24"/>
        </w:rPr>
        <w:t xml:space="preserve">Howdershelt, J. (2000). Radiation safety in scrap metal recycling. </w:t>
      </w:r>
      <w:r w:rsidRPr="0058508B">
        <w:rPr>
          <w:rFonts w:ascii="Times New Roman" w:hAnsi="Times New Roman"/>
          <w:i/>
          <w:iCs/>
          <w:sz w:val="24"/>
          <w:szCs w:val="24"/>
        </w:rPr>
        <w:t>Health Physics, 78</w:t>
      </w:r>
      <w:r w:rsidRPr="0058508B">
        <w:rPr>
          <w:rFonts w:ascii="Times New Roman" w:hAnsi="Times New Roman"/>
          <w:sz w:val="24"/>
          <w:szCs w:val="24"/>
        </w:rPr>
        <w:t>(2), S161–S165.</w:t>
      </w:r>
    </w:p>
    <w:p w14:paraId="28575383" w14:textId="77777777" w:rsidR="0058508B" w:rsidRPr="0058508B" w:rsidRDefault="0058508B" w:rsidP="0058508B">
      <w:pPr>
        <w:jc w:val="both"/>
        <w:rPr>
          <w:rFonts w:ascii="Times New Roman" w:hAnsi="Times New Roman"/>
          <w:sz w:val="24"/>
          <w:szCs w:val="24"/>
        </w:rPr>
      </w:pPr>
      <w:r w:rsidRPr="0058508B">
        <w:rPr>
          <w:rFonts w:ascii="Times New Roman" w:hAnsi="Times New Roman"/>
          <w:sz w:val="24"/>
          <w:szCs w:val="24"/>
        </w:rPr>
        <w:t xml:space="preserve">International Commission on Radiological Protection (ICRP). (1991). </w:t>
      </w:r>
      <w:r w:rsidRPr="0058508B">
        <w:rPr>
          <w:rFonts w:ascii="Times New Roman" w:hAnsi="Times New Roman"/>
          <w:i/>
          <w:iCs/>
          <w:sz w:val="24"/>
          <w:szCs w:val="24"/>
        </w:rPr>
        <w:t>1990 recommendations of the International Commission on Radiological Protection (ICRP Publication 60).</w:t>
      </w:r>
      <w:r w:rsidRPr="0058508B">
        <w:rPr>
          <w:rFonts w:ascii="Times New Roman" w:hAnsi="Times New Roman"/>
          <w:sz w:val="24"/>
          <w:szCs w:val="24"/>
        </w:rPr>
        <w:t xml:space="preserve"> Pergamon Press.</w:t>
      </w:r>
    </w:p>
    <w:p w14:paraId="392B988A" w14:textId="77777777" w:rsidR="0058508B" w:rsidRPr="0058508B" w:rsidRDefault="0058508B" w:rsidP="0058508B">
      <w:pPr>
        <w:jc w:val="both"/>
        <w:rPr>
          <w:rFonts w:ascii="Times New Roman" w:hAnsi="Times New Roman"/>
          <w:sz w:val="24"/>
          <w:szCs w:val="24"/>
        </w:rPr>
      </w:pPr>
      <w:r w:rsidRPr="0058508B">
        <w:rPr>
          <w:rFonts w:ascii="Times New Roman" w:hAnsi="Times New Roman"/>
          <w:sz w:val="24"/>
          <w:szCs w:val="24"/>
        </w:rPr>
        <w:t xml:space="preserve">Lenka, P., &amp; Peter, H. (2010). Radiological safety issues in scrap metal management. </w:t>
      </w:r>
      <w:r w:rsidRPr="0058508B">
        <w:rPr>
          <w:rFonts w:ascii="Times New Roman" w:hAnsi="Times New Roman"/>
          <w:i/>
          <w:iCs/>
          <w:sz w:val="24"/>
          <w:szCs w:val="24"/>
        </w:rPr>
        <w:t>Radiation Protection Dosimetry, 140</w:t>
      </w:r>
      <w:r w:rsidRPr="0058508B">
        <w:rPr>
          <w:rFonts w:ascii="Times New Roman" w:hAnsi="Times New Roman"/>
          <w:sz w:val="24"/>
          <w:szCs w:val="24"/>
        </w:rPr>
        <w:t xml:space="preserve">(3), 262–267. </w:t>
      </w:r>
      <w:hyperlink r:id="rId11" w:tgtFrame="_new" w:history="1">
        <w:r w:rsidRPr="0058508B">
          <w:rPr>
            <w:rStyle w:val="Hyperlink"/>
            <w:rFonts w:ascii="Times New Roman" w:hAnsi="Times New Roman"/>
            <w:sz w:val="24"/>
            <w:szCs w:val="24"/>
          </w:rPr>
          <w:t>https://doi.org/10.1093/rpd/ncq107</w:t>
        </w:r>
      </w:hyperlink>
    </w:p>
    <w:p w14:paraId="5887B8B4" w14:textId="77777777" w:rsidR="0058508B" w:rsidRPr="0058508B" w:rsidRDefault="0058508B" w:rsidP="0058508B">
      <w:pPr>
        <w:jc w:val="both"/>
        <w:rPr>
          <w:rFonts w:ascii="Times New Roman" w:hAnsi="Times New Roman"/>
          <w:sz w:val="24"/>
          <w:szCs w:val="24"/>
        </w:rPr>
      </w:pPr>
      <w:r w:rsidRPr="0058508B">
        <w:rPr>
          <w:rFonts w:ascii="Times New Roman" w:hAnsi="Times New Roman"/>
          <w:sz w:val="24"/>
          <w:szCs w:val="24"/>
        </w:rPr>
        <w:t xml:space="preserve">Minnesota Department of Health (MDH). (2008). </w:t>
      </w:r>
      <w:r w:rsidRPr="0058508B">
        <w:rPr>
          <w:rFonts w:ascii="Times New Roman" w:hAnsi="Times New Roman"/>
          <w:i/>
          <w:iCs/>
          <w:sz w:val="24"/>
          <w:szCs w:val="24"/>
        </w:rPr>
        <w:t>Environmental radiation monitoring program annual report.</w:t>
      </w:r>
      <w:r w:rsidRPr="0058508B">
        <w:rPr>
          <w:rFonts w:ascii="Times New Roman" w:hAnsi="Times New Roman"/>
          <w:sz w:val="24"/>
          <w:szCs w:val="24"/>
        </w:rPr>
        <w:t xml:space="preserve"> Radiation Control Unit, Minnesota Department of Health.</w:t>
      </w:r>
    </w:p>
    <w:p w14:paraId="69C5B1AC" w14:textId="77777777" w:rsidR="0058508B" w:rsidRPr="0058508B" w:rsidRDefault="0058508B" w:rsidP="0058508B">
      <w:pPr>
        <w:jc w:val="both"/>
        <w:rPr>
          <w:rFonts w:ascii="Times New Roman" w:hAnsi="Times New Roman"/>
          <w:sz w:val="24"/>
          <w:szCs w:val="24"/>
        </w:rPr>
      </w:pPr>
      <w:r w:rsidRPr="0058508B">
        <w:rPr>
          <w:rFonts w:ascii="Times New Roman" w:hAnsi="Times New Roman"/>
          <w:sz w:val="24"/>
          <w:szCs w:val="24"/>
        </w:rPr>
        <w:t xml:space="preserve">National Population Commission (NPC). (2006). </w:t>
      </w:r>
      <w:r w:rsidRPr="0058508B">
        <w:rPr>
          <w:rFonts w:ascii="Times New Roman" w:hAnsi="Times New Roman"/>
          <w:i/>
          <w:iCs/>
          <w:sz w:val="24"/>
          <w:szCs w:val="24"/>
        </w:rPr>
        <w:t>Population and housing census of the Federal Republic of Nigeria: Priority tables.</w:t>
      </w:r>
      <w:r w:rsidRPr="0058508B">
        <w:rPr>
          <w:rFonts w:ascii="Times New Roman" w:hAnsi="Times New Roman"/>
          <w:sz w:val="24"/>
          <w:szCs w:val="24"/>
        </w:rPr>
        <w:t xml:space="preserve"> National Population Commission.</w:t>
      </w:r>
    </w:p>
    <w:p w14:paraId="603DFCFB" w14:textId="77777777" w:rsidR="0058508B" w:rsidRPr="0058508B" w:rsidRDefault="0058508B" w:rsidP="0058508B">
      <w:pPr>
        <w:jc w:val="both"/>
        <w:rPr>
          <w:rFonts w:ascii="Times New Roman" w:hAnsi="Times New Roman"/>
          <w:sz w:val="24"/>
          <w:szCs w:val="24"/>
        </w:rPr>
      </w:pPr>
      <w:r w:rsidRPr="0058508B">
        <w:rPr>
          <w:rFonts w:ascii="Times New Roman" w:hAnsi="Times New Roman"/>
          <w:sz w:val="24"/>
          <w:szCs w:val="24"/>
        </w:rPr>
        <w:t xml:space="preserve">Ofomola, M. O. (2023). Geological influence on background radiation levels in selected quarry sites of Southeastern Nigeria. </w:t>
      </w:r>
      <w:r w:rsidRPr="0058508B">
        <w:rPr>
          <w:rFonts w:ascii="Times New Roman" w:hAnsi="Times New Roman"/>
          <w:i/>
          <w:iCs/>
          <w:sz w:val="24"/>
          <w:szCs w:val="24"/>
        </w:rPr>
        <w:t>Nigerian Journal of Physics, 35</w:t>
      </w:r>
      <w:r w:rsidRPr="0058508B">
        <w:rPr>
          <w:rFonts w:ascii="Times New Roman" w:hAnsi="Times New Roman"/>
          <w:sz w:val="24"/>
          <w:szCs w:val="24"/>
        </w:rPr>
        <w:t>(2), 91–100.</w:t>
      </w:r>
    </w:p>
    <w:p w14:paraId="451F1FCC" w14:textId="77777777" w:rsidR="0058508B" w:rsidRPr="0058508B" w:rsidRDefault="0058508B" w:rsidP="0058508B">
      <w:pPr>
        <w:jc w:val="both"/>
        <w:rPr>
          <w:rFonts w:ascii="Times New Roman" w:hAnsi="Times New Roman"/>
          <w:sz w:val="24"/>
          <w:szCs w:val="24"/>
        </w:rPr>
      </w:pPr>
      <w:r w:rsidRPr="0058508B">
        <w:rPr>
          <w:rFonts w:ascii="Times New Roman" w:hAnsi="Times New Roman"/>
          <w:sz w:val="24"/>
          <w:szCs w:val="24"/>
        </w:rPr>
        <w:t xml:space="preserve">Olarinoye, I. O., Sharifat, I. A., &amp; Mustapha, A. O. (2010). Measurement of environmental background radiation levels at Kwara State, Nigeria. </w:t>
      </w:r>
      <w:r w:rsidRPr="0058508B">
        <w:rPr>
          <w:rFonts w:ascii="Times New Roman" w:hAnsi="Times New Roman"/>
          <w:i/>
          <w:iCs/>
          <w:sz w:val="24"/>
          <w:szCs w:val="24"/>
        </w:rPr>
        <w:t>Science World Journal, 5</w:t>
      </w:r>
      <w:r w:rsidRPr="0058508B">
        <w:rPr>
          <w:rFonts w:ascii="Times New Roman" w:hAnsi="Times New Roman"/>
          <w:sz w:val="24"/>
          <w:szCs w:val="24"/>
        </w:rPr>
        <w:t>(1), 15–19.</w:t>
      </w:r>
    </w:p>
    <w:p w14:paraId="56139D30" w14:textId="77777777" w:rsidR="0058508B" w:rsidRPr="0058508B" w:rsidRDefault="0058508B" w:rsidP="0058508B">
      <w:pPr>
        <w:jc w:val="both"/>
        <w:rPr>
          <w:rFonts w:ascii="Times New Roman" w:hAnsi="Times New Roman"/>
          <w:sz w:val="24"/>
          <w:szCs w:val="24"/>
        </w:rPr>
      </w:pPr>
      <w:r w:rsidRPr="0058508B">
        <w:rPr>
          <w:rFonts w:ascii="Times New Roman" w:hAnsi="Times New Roman"/>
          <w:sz w:val="24"/>
          <w:szCs w:val="24"/>
        </w:rPr>
        <w:t xml:space="preserve">Orosun, M. M., Oladapo, O. M., Balogun, F. A., &amp; Ademola, J. A. (2021). Assessment of ambient gamma dose and radon in groundwater of Moro, North-Central Nigeria. </w:t>
      </w:r>
      <w:r w:rsidRPr="0058508B">
        <w:rPr>
          <w:rFonts w:ascii="Times New Roman" w:hAnsi="Times New Roman"/>
          <w:i/>
          <w:iCs/>
          <w:sz w:val="24"/>
          <w:szCs w:val="24"/>
        </w:rPr>
        <w:t>Environmental Earth Sciences, 80,</w:t>
      </w:r>
      <w:r w:rsidRPr="0058508B">
        <w:rPr>
          <w:rFonts w:ascii="Times New Roman" w:hAnsi="Times New Roman"/>
          <w:sz w:val="24"/>
          <w:szCs w:val="24"/>
        </w:rPr>
        <w:t xml:space="preserve"> 351. </w:t>
      </w:r>
      <w:hyperlink r:id="rId12" w:tgtFrame="_new" w:history="1">
        <w:r w:rsidRPr="0058508B">
          <w:rPr>
            <w:rStyle w:val="Hyperlink"/>
            <w:rFonts w:ascii="Times New Roman" w:hAnsi="Times New Roman"/>
            <w:sz w:val="24"/>
            <w:szCs w:val="24"/>
          </w:rPr>
          <w:t>https://doi.org/10.1007/s12665-021-09688-7</w:t>
        </w:r>
      </w:hyperlink>
    </w:p>
    <w:p w14:paraId="49823099" w14:textId="77777777" w:rsidR="0058508B" w:rsidRPr="0058508B" w:rsidRDefault="0058508B" w:rsidP="0058508B">
      <w:pPr>
        <w:jc w:val="both"/>
        <w:rPr>
          <w:rFonts w:ascii="Times New Roman" w:hAnsi="Times New Roman"/>
          <w:sz w:val="24"/>
          <w:szCs w:val="24"/>
        </w:rPr>
      </w:pPr>
      <w:r w:rsidRPr="0058508B">
        <w:rPr>
          <w:rFonts w:ascii="Times New Roman" w:hAnsi="Times New Roman"/>
          <w:sz w:val="24"/>
          <w:szCs w:val="24"/>
        </w:rPr>
        <w:t xml:space="preserve">Orosun, M. M., Umaru, I., &amp; Yakubu, I. (2021). Outdoor and indoor gamma dose rate levels in parts of Kaduna State, Nigeria. </w:t>
      </w:r>
      <w:r w:rsidRPr="0058508B">
        <w:rPr>
          <w:rFonts w:ascii="Times New Roman" w:hAnsi="Times New Roman"/>
          <w:i/>
          <w:iCs/>
          <w:sz w:val="24"/>
          <w:szCs w:val="24"/>
        </w:rPr>
        <w:t>Radiation Protection and Environment, 44</w:t>
      </w:r>
      <w:r w:rsidRPr="0058508B">
        <w:rPr>
          <w:rFonts w:ascii="Times New Roman" w:hAnsi="Times New Roman"/>
          <w:sz w:val="24"/>
          <w:szCs w:val="24"/>
        </w:rPr>
        <w:t>(2), 77–85.</w:t>
      </w:r>
    </w:p>
    <w:p w14:paraId="228F4895" w14:textId="77777777" w:rsidR="0058508B" w:rsidRPr="0058508B" w:rsidRDefault="0058508B" w:rsidP="0058508B">
      <w:pPr>
        <w:jc w:val="both"/>
        <w:rPr>
          <w:rFonts w:ascii="Times New Roman" w:hAnsi="Times New Roman"/>
          <w:sz w:val="24"/>
          <w:szCs w:val="24"/>
        </w:rPr>
      </w:pPr>
      <w:r w:rsidRPr="0058508B">
        <w:rPr>
          <w:rFonts w:ascii="Times New Roman" w:hAnsi="Times New Roman"/>
          <w:sz w:val="24"/>
          <w:szCs w:val="24"/>
        </w:rPr>
        <w:t xml:space="preserve">Olaoye, O. (2023). Distribution and assessment of radionuclides in soils around mechanic workshops in Southwestern Nigeria. </w:t>
      </w:r>
      <w:r w:rsidRPr="0058508B">
        <w:rPr>
          <w:rFonts w:ascii="Times New Roman" w:hAnsi="Times New Roman"/>
          <w:i/>
          <w:iCs/>
          <w:sz w:val="24"/>
          <w:szCs w:val="24"/>
        </w:rPr>
        <w:t>Environmental Research Communications, 5</w:t>
      </w:r>
      <w:r w:rsidRPr="0058508B">
        <w:rPr>
          <w:rFonts w:ascii="Times New Roman" w:hAnsi="Times New Roman"/>
          <w:sz w:val="24"/>
          <w:szCs w:val="24"/>
        </w:rPr>
        <w:t>(4), 045002.</w:t>
      </w:r>
    </w:p>
    <w:p w14:paraId="6DE03E4A" w14:textId="77777777" w:rsidR="0058508B" w:rsidRPr="0058508B" w:rsidRDefault="0058508B" w:rsidP="0058508B">
      <w:pPr>
        <w:jc w:val="both"/>
        <w:rPr>
          <w:rFonts w:ascii="Times New Roman" w:hAnsi="Times New Roman"/>
          <w:sz w:val="24"/>
          <w:szCs w:val="24"/>
        </w:rPr>
      </w:pPr>
      <w:r w:rsidRPr="0058508B">
        <w:rPr>
          <w:rFonts w:ascii="Times New Roman" w:hAnsi="Times New Roman"/>
          <w:sz w:val="24"/>
          <w:szCs w:val="24"/>
        </w:rPr>
        <w:t xml:space="preserve">Oyeyinka, O. A., Oladapo, O. M., &amp; Awodugba, A. O. (2012). Natural radioactivity in some building materials in Nigeria and their radiological implications. </w:t>
      </w:r>
      <w:r w:rsidRPr="0058508B">
        <w:rPr>
          <w:rFonts w:ascii="Times New Roman" w:hAnsi="Times New Roman"/>
          <w:i/>
          <w:iCs/>
          <w:sz w:val="24"/>
          <w:szCs w:val="24"/>
        </w:rPr>
        <w:t>Journal of Natural Sciences Research, 2</w:t>
      </w:r>
      <w:r w:rsidRPr="0058508B">
        <w:rPr>
          <w:rFonts w:ascii="Times New Roman" w:hAnsi="Times New Roman"/>
          <w:sz w:val="24"/>
          <w:szCs w:val="24"/>
        </w:rPr>
        <w:t>(7), 1–6.</w:t>
      </w:r>
    </w:p>
    <w:p w14:paraId="4EC285A2" w14:textId="77777777" w:rsidR="0058508B" w:rsidRPr="0058508B" w:rsidRDefault="0058508B" w:rsidP="0058508B">
      <w:pPr>
        <w:jc w:val="both"/>
        <w:rPr>
          <w:rFonts w:ascii="Times New Roman" w:hAnsi="Times New Roman"/>
          <w:sz w:val="24"/>
          <w:szCs w:val="24"/>
        </w:rPr>
      </w:pPr>
      <w:r w:rsidRPr="0058508B">
        <w:rPr>
          <w:rFonts w:ascii="Times New Roman" w:hAnsi="Times New Roman"/>
          <w:sz w:val="24"/>
          <w:szCs w:val="24"/>
        </w:rPr>
        <w:t xml:space="preserve">Rangacharyulu, C. (2013). </w:t>
      </w:r>
      <w:r w:rsidRPr="0058508B">
        <w:rPr>
          <w:rFonts w:ascii="Times New Roman" w:hAnsi="Times New Roman"/>
          <w:i/>
          <w:iCs/>
          <w:sz w:val="24"/>
          <w:szCs w:val="24"/>
        </w:rPr>
        <w:t>Physics of nuclear radiation: Concepts, techniques, and applications.</w:t>
      </w:r>
      <w:r w:rsidRPr="0058508B">
        <w:rPr>
          <w:rFonts w:ascii="Times New Roman" w:hAnsi="Times New Roman"/>
          <w:sz w:val="24"/>
          <w:szCs w:val="24"/>
        </w:rPr>
        <w:t xml:space="preserve"> CRC Press.</w:t>
      </w:r>
    </w:p>
    <w:p w14:paraId="178D6F4C" w14:textId="77777777" w:rsidR="0058508B" w:rsidRPr="0058508B" w:rsidRDefault="0058508B" w:rsidP="0058508B">
      <w:pPr>
        <w:jc w:val="both"/>
        <w:rPr>
          <w:rFonts w:ascii="Times New Roman" w:hAnsi="Times New Roman"/>
          <w:sz w:val="24"/>
          <w:szCs w:val="24"/>
        </w:rPr>
      </w:pPr>
      <w:r w:rsidRPr="0058508B">
        <w:rPr>
          <w:rFonts w:ascii="Times New Roman" w:hAnsi="Times New Roman"/>
          <w:sz w:val="24"/>
          <w:szCs w:val="24"/>
        </w:rPr>
        <w:lastRenderedPageBreak/>
        <w:t xml:space="preserve">Samaila, U., Nnadi, F. C., &amp; Lawal, M. (2022). A review of environmental radiation studies in Nigeria: Gaps and prospects. </w:t>
      </w:r>
      <w:r w:rsidRPr="0058508B">
        <w:rPr>
          <w:rFonts w:ascii="Times New Roman" w:hAnsi="Times New Roman"/>
          <w:i/>
          <w:iCs/>
          <w:sz w:val="24"/>
          <w:szCs w:val="24"/>
        </w:rPr>
        <w:t>African Journal of Environmental Science and Technology, 16</w:t>
      </w:r>
      <w:r w:rsidRPr="0058508B">
        <w:rPr>
          <w:rFonts w:ascii="Times New Roman" w:hAnsi="Times New Roman"/>
          <w:sz w:val="24"/>
          <w:szCs w:val="24"/>
        </w:rPr>
        <w:t>(6), 201–213.</w:t>
      </w:r>
    </w:p>
    <w:p w14:paraId="27F3691D" w14:textId="77777777" w:rsidR="0058508B" w:rsidRPr="0058508B" w:rsidRDefault="0058508B" w:rsidP="0058508B">
      <w:pPr>
        <w:jc w:val="both"/>
        <w:rPr>
          <w:rFonts w:ascii="Times New Roman" w:hAnsi="Times New Roman"/>
          <w:sz w:val="24"/>
          <w:szCs w:val="24"/>
        </w:rPr>
      </w:pPr>
      <w:r w:rsidRPr="0058508B">
        <w:rPr>
          <w:rFonts w:ascii="Times New Roman" w:hAnsi="Times New Roman"/>
          <w:sz w:val="24"/>
          <w:szCs w:val="24"/>
        </w:rPr>
        <w:t xml:space="preserve">Tayyeb, Z. A., Khan, A. S., &amp; Qureshi, A. A. (2012). Environmental gamma radiation measurements and dose estimation in selected locations of Jeddah, Saudi Arabia. </w:t>
      </w:r>
      <w:r w:rsidRPr="0058508B">
        <w:rPr>
          <w:rFonts w:ascii="Times New Roman" w:hAnsi="Times New Roman"/>
          <w:i/>
          <w:iCs/>
          <w:sz w:val="24"/>
          <w:szCs w:val="24"/>
        </w:rPr>
        <w:t>Radiation Protection Dosimetry, 150</w:t>
      </w:r>
      <w:r w:rsidRPr="0058508B">
        <w:rPr>
          <w:rFonts w:ascii="Times New Roman" w:hAnsi="Times New Roman"/>
          <w:sz w:val="24"/>
          <w:szCs w:val="24"/>
        </w:rPr>
        <w:t>(4), 542–546.</w:t>
      </w:r>
    </w:p>
    <w:p w14:paraId="40144158" w14:textId="77777777" w:rsidR="0058508B" w:rsidRPr="0058508B" w:rsidRDefault="0058508B" w:rsidP="0058508B">
      <w:pPr>
        <w:jc w:val="both"/>
        <w:rPr>
          <w:rFonts w:ascii="Times New Roman" w:hAnsi="Times New Roman"/>
          <w:sz w:val="24"/>
          <w:szCs w:val="24"/>
        </w:rPr>
      </w:pPr>
      <w:r w:rsidRPr="0058508B">
        <w:rPr>
          <w:rFonts w:ascii="Times New Roman" w:hAnsi="Times New Roman"/>
          <w:sz w:val="24"/>
          <w:szCs w:val="24"/>
        </w:rPr>
        <w:t xml:space="preserve">Tchokossa, P., Olomo, J. B., &amp; Osibote, O. A. (2012). Radioactivity in the community water supply in three gold mining areas of Osun State, Nigeria. </w:t>
      </w:r>
      <w:r w:rsidRPr="0058508B">
        <w:rPr>
          <w:rFonts w:ascii="Times New Roman" w:hAnsi="Times New Roman"/>
          <w:i/>
          <w:iCs/>
          <w:sz w:val="24"/>
          <w:szCs w:val="24"/>
        </w:rPr>
        <w:t>Journal of Environmental Radioactivity, 105,</w:t>
      </w:r>
      <w:r w:rsidRPr="0058508B">
        <w:rPr>
          <w:rFonts w:ascii="Times New Roman" w:hAnsi="Times New Roman"/>
          <w:sz w:val="24"/>
          <w:szCs w:val="24"/>
        </w:rPr>
        <w:t xml:space="preserve"> 30–36. </w:t>
      </w:r>
      <w:hyperlink r:id="rId13" w:tgtFrame="_new" w:history="1">
        <w:r w:rsidRPr="0058508B">
          <w:rPr>
            <w:rStyle w:val="Hyperlink"/>
            <w:rFonts w:ascii="Times New Roman" w:hAnsi="Times New Roman"/>
            <w:sz w:val="24"/>
            <w:szCs w:val="24"/>
          </w:rPr>
          <w:t>https://doi.org/10.1016/j.jenvrad.2011.10.005</w:t>
        </w:r>
      </w:hyperlink>
    </w:p>
    <w:p w14:paraId="641BB591" w14:textId="77777777" w:rsidR="0058508B" w:rsidRPr="0058508B" w:rsidRDefault="0058508B" w:rsidP="0058508B">
      <w:pPr>
        <w:jc w:val="both"/>
        <w:rPr>
          <w:rFonts w:ascii="Times New Roman" w:hAnsi="Times New Roman"/>
          <w:sz w:val="24"/>
          <w:szCs w:val="24"/>
        </w:rPr>
      </w:pPr>
      <w:r w:rsidRPr="0058508B">
        <w:rPr>
          <w:rFonts w:ascii="Times New Roman" w:hAnsi="Times New Roman"/>
          <w:sz w:val="24"/>
          <w:szCs w:val="24"/>
        </w:rPr>
        <w:t xml:space="preserve">Turner, J. E. (2007). </w:t>
      </w:r>
      <w:r w:rsidRPr="0058508B">
        <w:rPr>
          <w:rFonts w:ascii="Times New Roman" w:hAnsi="Times New Roman"/>
          <w:i/>
          <w:iCs/>
          <w:sz w:val="24"/>
          <w:szCs w:val="24"/>
        </w:rPr>
        <w:t>Atoms, radiation, and radiation protection</w:t>
      </w:r>
      <w:r w:rsidRPr="0058508B">
        <w:rPr>
          <w:rFonts w:ascii="Times New Roman" w:hAnsi="Times New Roman"/>
          <w:sz w:val="24"/>
          <w:szCs w:val="24"/>
        </w:rPr>
        <w:t xml:space="preserve"> (3rd ed.). Wiley-VCH.</w:t>
      </w:r>
    </w:p>
    <w:p w14:paraId="16116B66" w14:textId="77777777" w:rsidR="0058508B" w:rsidRPr="0058508B" w:rsidRDefault="0058508B" w:rsidP="0058508B">
      <w:pPr>
        <w:jc w:val="both"/>
        <w:rPr>
          <w:rFonts w:ascii="Times New Roman" w:hAnsi="Times New Roman"/>
          <w:sz w:val="24"/>
          <w:szCs w:val="24"/>
        </w:rPr>
      </w:pPr>
      <w:r w:rsidRPr="0058508B">
        <w:rPr>
          <w:rFonts w:ascii="Times New Roman" w:hAnsi="Times New Roman"/>
          <w:sz w:val="24"/>
          <w:szCs w:val="24"/>
        </w:rPr>
        <w:t xml:space="preserve">Ugwuanyi, J. U., Eze, C. U., &amp; Ononugbo, C. (2022). Comparative study of background radiation levels around selected industrial and non-industrial buildings in Enugu State, Nigeria. </w:t>
      </w:r>
      <w:r w:rsidRPr="0058508B">
        <w:rPr>
          <w:rFonts w:ascii="Times New Roman" w:hAnsi="Times New Roman"/>
          <w:i/>
          <w:iCs/>
          <w:sz w:val="24"/>
          <w:szCs w:val="24"/>
        </w:rPr>
        <w:t>Journal of Radiation Research and Applied Sciences, 15</w:t>
      </w:r>
      <w:r w:rsidRPr="0058508B">
        <w:rPr>
          <w:rFonts w:ascii="Times New Roman" w:hAnsi="Times New Roman"/>
          <w:sz w:val="24"/>
          <w:szCs w:val="24"/>
        </w:rPr>
        <w:t>(1), 1–10.</w:t>
      </w:r>
    </w:p>
    <w:p w14:paraId="3551D4DD" w14:textId="77777777" w:rsidR="0058508B" w:rsidRPr="0058508B" w:rsidRDefault="0058508B" w:rsidP="0058508B">
      <w:pPr>
        <w:jc w:val="both"/>
        <w:rPr>
          <w:rFonts w:ascii="Times New Roman" w:hAnsi="Times New Roman"/>
          <w:sz w:val="24"/>
          <w:szCs w:val="24"/>
        </w:rPr>
      </w:pPr>
      <w:r w:rsidRPr="0058508B">
        <w:rPr>
          <w:rFonts w:ascii="Times New Roman" w:hAnsi="Times New Roman"/>
          <w:sz w:val="24"/>
          <w:szCs w:val="24"/>
        </w:rPr>
        <w:t xml:space="preserve">Ukokeno, M. O., Omonigho, J. M., &amp; Edewor, T. I. (2024). Environmental radiation assessment of scrap sites, automobile and wood workshops in Delta State, Nigeria. </w:t>
      </w:r>
      <w:r w:rsidRPr="0058508B">
        <w:rPr>
          <w:rFonts w:ascii="Times New Roman" w:hAnsi="Times New Roman"/>
          <w:i/>
          <w:iCs/>
          <w:sz w:val="24"/>
          <w:szCs w:val="24"/>
        </w:rPr>
        <w:t>Radiation Physics and Chemistry, 213,</w:t>
      </w:r>
      <w:r w:rsidRPr="0058508B">
        <w:rPr>
          <w:rFonts w:ascii="Times New Roman" w:hAnsi="Times New Roman"/>
          <w:sz w:val="24"/>
          <w:szCs w:val="24"/>
        </w:rPr>
        <w:t xml:space="preserve"> 111046.</w:t>
      </w:r>
    </w:p>
    <w:p w14:paraId="1F5FED97" w14:textId="77777777" w:rsidR="0058508B" w:rsidRPr="0058508B" w:rsidRDefault="0058508B" w:rsidP="0058508B">
      <w:pPr>
        <w:jc w:val="both"/>
        <w:rPr>
          <w:rFonts w:ascii="Times New Roman" w:hAnsi="Times New Roman"/>
          <w:sz w:val="24"/>
          <w:szCs w:val="24"/>
        </w:rPr>
      </w:pPr>
      <w:r w:rsidRPr="0058508B">
        <w:rPr>
          <w:rFonts w:ascii="Times New Roman" w:hAnsi="Times New Roman"/>
          <w:sz w:val="24"/>
          <w:szCs w:val="24"/>
        </w:rPr>
        <w:t xml:space="preserve">United Nations Scientific Committee on the Effects of Atomic Radiation (UNSCEAR). (2000). </w:t>
      </w:r>
      <w:r w:rsidRPr="0058508B">
        <w:rPr>
          <w:rFonts w:ascii="Times New Roman" w:hAnsi="Times New Roman"/>
          <w:i/>
          <w:iCs/>
          <w:sz w:val="24"/>
          <w:szCs w:val="24"/>
        </w:rPr>
        <w:t>Sources and effects of ionizing radiation: UNSCEAR 2000 report to the General Assembly, with scientific annexes.</w:t>
      </w:r>
      <w:r w:rsidRPr="0058508B">
        <w:rPr>
          <w:rFonts w:ascii="Times New Roman" w:hAnsi="Times New Roman"/>
          <w:sz w:val="24"/>
          <w:szCs w:val="24"/>
        </w:rPr>
        <w:t xml:space="preserve"> United Nations.</w:t>
      </w:r>
    </w:p>
    <w:p w14:paraId="3E2A8263" w14:textId="77777777" w:rsidR="0058508B" w:rsidRPr="0058508B" w:rsidRDefault="0058508B" w:rsidP="0058508B">
      <w:pPr>
        <w:jc w:val="both"/>
        <w:rPr>
          <w:rFonts w:ascii="Times New Roman" w:hAnsi="Times New Roman"/>
          <w:sz w:val="24"/>
          <w:szCs w:val="24"/>
        </w:rPr>
      </w:pPr>
      <w:r w:rsidRPr="0058508B">
        <w:rPr>
          <w:rFonts w:ascii="Times New Roman" w:hAnsi="Times New Roman"/>
          <w:sz w:val="24"/>
          <w:szCs w:val="24"/>
        </w:rPr>
        <w:t xml:space="preserve">Usman, A., Mohammed, S., &amp; Bello, I. A. (2021). Gamma radiation levels in the vicinity of industrial activities in Kaduna State, Nigeria. </w:t>
      </w:r>
      <w:r w:rsidRPr="0058508B">
        <w:rPr>
          <w:rFonts w:ascii="Times New Roman" w:hAnsi="Times New Roman"/>
          <w:i/>
          <w:iCs/>
          <w:sz w:val="24"/>
          <w:szCs w:val="24"/>
        </w:rPr>
        <w:t>Journal of Environmental Radioactivity, 234,</w:t>
      </w:r>
      <w:r w:rsidRPr="0058508B">
        <w:rPr>
          <w:rFonts w:ascii="Times New Roman" w:hAnsi="Times New Roman"/>
          <w:sz w:val="24"/>
          <w:szCs w:val="24"/>
        </w:rPr>
        <w:t xml:space="preserve"> 106632.</w:t>
      </w:r>
    </w:p>
    <w:p w14:paraId="7FD8E335" w14:textId="77777777" w:rsidR="0058508B" w:rsidRPr="0058508B" w:rsidRDefault="0058508B" w:rsidP="0058508B">
      <w:pPr>
        <w:jc w:val="both"/>
        <w:rPr>
          <w:rFonts w:ascii="Times New Roman" w:hAnsi="Times New Roman"/>
          <w:sz w:val="24"/>
          <w:szCs w:val="24"/>
        </w:rPr>
      </w:pPr>
      <w:r w:rsidRPr="0058508B">
        <w:rPr>
          <w:rFonts w:ascii="Times New Roman" w:hAnsi="Times New Roman"/>
          <w:sz w:val="24"/>
          <w:szCs w:val="24"/>
        </w:rPr>
        <w:t xml:space="preserve">Usman, Y. T., Jibrin, A. Y., Ishaq, Y., Bello, S., &amp; Yahaya, M. A. (2022). Assessment of natural ionizing radiation in two tertiary institutions of Niger State. </w:t>
      </w:r>
      <w:r w:rsidRPr="0058508B">
        <w:rPr>
          <w:rFonts w:ascii="Times New Roman" w:hAnsi="Times New Roman"/>
          <w:i/>
          <w:iCs/>
          <w:sz w:val="24"/>
          <w:szCs w:val="24"/>
        </w:rPr>
        <w:t>FUDMA Journal of Sciences, 5</w:t>
      </w:r>
      <w:r w:rsidRPr="0058508B">
        <w:rPr>
          <w:rFonts w:ascii="Times New Roman" w:hAnsi="Times New Roman"/>
          <w:sz w:val="24"/>
          <w:szCs w:val="24"/>
        </w:rPr>
        <w:t xml:space="preserve">(4), 161–188. </w:t>
      </w:r>
      <w:hyperlink r:id="rId14" w:tgtFrame="_new" w:history="1">
        <w:r w:rsidRPr="0058508B">
          <w:rPr>
            <w:rStyle w:val="Hyperlink"/>
            <w:rFonts w:ascii="Times New Roman" w:hAnsi="Times New Roman"/>
            <w:sz w:val="24"/>
            <w:szCs w:val="24"/>
          </w:rPr>
          <w:t>https://doi.org/10.33003/fjs-2021-0504-800</w:t>
        </w:r>
      </w:hyperlink>
    </w:p>
    <w:p w14:paraId="720FB5FB" w14:textId="77777777" w:rsidR="002818D5" w:rsidRPr="0058508B" w:rsidRDefault="002818D5" w:rsidP="0058508B">
      <w:pPr>
        <w:jc w:val="both"/>
        <w:rPr>
          <w:rFonts w:ascii="Times New Roman" w:hAnsi="Times New Roman"/>
          <w:sz w:val="24"/>
          <w:szCs w:val="24"/>
        </w:rPr>
      </w:pPr>
    </w:p>
    <w:sectPr w:rsidR="002818D5" w:rsidRPr="005850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D5"/>
    <w:rsid w:val="00021E1D"/>
    <w:rsid w:val="00084636"/>
    <w:rsid w:val="000C3FD8"/>
    <w:rsid w:val="001E3558"/>
    <w:rsid w:val="001F451A"/>
    <w:rsid w:val="002818D5"/>
    <w:rsid w:val="002B6D3C"/>
    <w:rsid w:val="00340925"/>
    <w:rsid w:val="003417BD"/>
    <w:rsid w:val="00362611"/>
    <w:rsid w:val="003B3DFC"/>
    <w:rsid w:val="003F6460"/>
    <w:rsid w:val="00424AF9"/>
    <w:rsid w:val="00432F40"/>
    <w:rsid w:val="00462A4B"/>
    <w:rsid w:val="00475374"/>
    <w:rsid w:val="004B1418"/>
    <w:rsid w:val="0052582C"/>
    <w:rsid w:val="0058508B"/>
    <w:rsid w:val="00587F5F"/>
    <w:rsid w:val="00620224"/>
    <w:rsid w:val="00683AB2"/>
    <w:rsid w:val="006B215E"/>
    <w:rsid w:val="007320DA"/>
    <w:rsid w:val="007505E6"/>
    <w:rsid w:val="007B188D"/>
    <w:rsid w:val="00842976"/>
    <w:rsid w:val="00853582"/>
    <w:rsid w:val="008927AF"/>
    <w:rsid w:val="00897888"/>
    <w:rsid w:val="008B317D"/>
    <w:rsid w:val="009E7C7E"/>
    <w:rsid w:val="00BA798A"/>
    <w:rsid w:val="00C44B1F"/>
    <w:rsid w:val="00C61A49"/>
    <w:rsid w:val="00CC75C7"/>
    <w:rsid w:val="00D00384"/>
    <w:rsid w:val="00D32998"/>
    <w:rsid w:val="00E46B10"/>
    <w:rsid w:val="00F27B1E"/>
    <w:rsid w:val="00F60A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284E2"/>
  <w15:chartTrackingRefBased/>
  <w15:docId w15:val="{1C457174-18B9-44C3-87BB-43299961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8D5"/>
    <w:pPr>
      <w:spacing w:after="0" w:line="240" w:lineRule="auto"/>
    </w:pPr>
    <w:rPr>
      <w:rFonts w:ascii="Calibri" w:eastAsia="SimSun" w:hAnsi="Calibri" w:cs="Times New Roman"/>
      <w:kern w:val="0"/>
      <w:sz w:val="21"/>
      <w:szCs w:val="20"/>
      <w:lang w:val="en-US"/>
      <w14:ligatures w14:val="none"/>
    </w:rPr>
  </w:style>
  <w:style w:type="paragraph" w:styleId="Heading1">
    <w:name w:val="heading 1"/>
    <w:basedOn w:val="Normal"/>
    <w:next w:val="Normal"/>
    <w:link w:val="Heading1Char"/>
    <w:uiPriority w:val="9"/>
    <w:qFormat/>
    <w:rsid w:val="002818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18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18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18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18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18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8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8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8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8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18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18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18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18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1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8D5"/>
    <w:rPr>
      <w:rFonts w:eastAsiaTheme="majorEastAsia" w:cstheme="majorBidi"/>
      <w:color w:val="272727" w:themeColor="text1" w:themeTint="D8"/>
    </w:rPr>
  </w:style>
  <w:style w:type="paragraph" w:styleId="Title">
    <w:name w:val="Title"/>
    <w:basedOn w:val="Normal"/>
    <w:next w:val="Normal"/>
    <w:link w:val="TitleChar"/>
    <w:uiPriority w:val="10"/>
    <w:qFormat/>
    <w:rsid w:val="002818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8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8D5"/>
    <w:pPr>
      <w:spacing w:before="160"/>
      <w:jc w:val="center"/>
    </w:pPr>
    <w:rPr>
      <w:i/>
      <w:iCs/>
      <w:color w:val="404040" w:themeColor="text1" w:themeTint="BF"/>
    </w:rPr>
  </w:style>
  <w:style w:type="character" w:customStyle="1" w:styleId="QuoteChar">
    <w:name w:val="Quote Char"/>
    <w:basedOn w:val="DefaultParagraphFont"/>
    <w:link w:val="Quote"/>
    <w:uiPriority w:val="29"/>
    <w:rsid w:val="002818D5"/>
    <w:rPr>
      <w:i/>
      <w:iCs/>
      <w:color w:val="404040" w:themeColor="text1" w:themeTint="BF"/>
    </w:rPr>
  </w:style>
  <w:style w:type="paragraph" w:styleId="ListParagraph">
    <w:name w:val="List Paragraph"/>
    <w:basedOn w:val="Normal"/>
    <w:uiPriority w:val="34"/>
    <w:qFormat/>
    <w:rsid w:val="002818D5"/>
    <w:pPr>
      <w:ind w:left="720"/>
      <w:contextualSpacing/>
    </w:pPr>
  </w:style>
  <w:style w:type="character" w:styleId="IntenseEmphasis">
    <w:name w:val="Intense Emphasis"/>
    <w:basedOn w:val="DefaultParagraphFont"/>
    <w:uiPriority w:val="21"/>
    <w:qFormat/>
    <w:rsid w:val="002818D5"/>
    <w:rPr>
      <w:i/>
      <w:iCs/>
      <w:color w:val="2F5496" w:themeColor="accent1" w:themeShade="BF"/>
    </w:rPr>
  </w:style>
  <w:style w:type="paragraph" w:styleId="IntenseQuote">
    <w:name w:val="Intense Quote"/>
    <w:basedOn w:val="Normal"/>
    <w:next w:val="Normal"/>
    <w:link w:val="IntenseQuoteChar"/>
    <w:uiPriority w:val="30"/>
    <w:qFormat/>
    <w:rsid w:val="002818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18D5"/>
    <w:rPr>
      <w:i/>
      <w:iCs/>
      <w:color w:val="2F5496" w:themeColor="accent1" w:themeShade="BF"/>
    </w:rPr>
  </w:style>
  <w:style w:type="character" w:styleId="IntenseReference">
    <w:name w:val="Intense Reference"/>
    <w:basedOn w:val="DefaultParagraphFont"/>
    <w:uiPriority w:val="32"/>
    <w:qFormat/>
    <w:rsid w:val="002818D5"/>
    <w:rPr>
      <w:b/>
      <w:bCs/>
      <w:smallCaps/>
      <w:color w:val="2F5496" w:themeColor="accent1" w:themeShade="BF"/>
      <w:spacing w:val="5"/>
    </w:rPr>
  </w:style>
  <w:style w:type="paragraph" w:customStyle="1" w:styleId="toc6">
    <w:name w:val="&quot;&quot;&quot;toc 6&quot;&quot;&quot;"/>
    <w:rsid w:val="002818D5"/>
    <w:pPr>
      <w:spacing w:after="0" w:line="240" w:lineRule="auto"/>
    </w:pPr>
    <w:rPr>
      <w:rFonts w:ascii="Calibri" w:eastAsia="SimSun" w:hAnsi="Calibri" w:cs="Times New Roman"/>
      <w:kern w:val="0"/>
      <w:sz w:val="20"/>
      <w:lang w:val="en-US"/>
      <w14:ligatures w14:val="none"/>
    </w:rPr>
  </w:style>
  <w:style w:type="character" w:customStyle="1" w:styleId="NoSpacingChar">
    <w:name w:val="No Spacing Char"/>
    <w:link w:val="NoSpacing"/>
    <w:uiPriority w:val="1"/>
    <w:locked/>
    <w:rsid w:val="002818D5"/>
    <w:rPr>
      <w:rFonts w:ascii="Times New Roman" w:eastAsia="Times New Roman" w:hAnsi="Times New Roman"/>
      <w:lang w:eastAsia="ja-JP"/>
    </w:rPr>
  </w:style>
  <w:style w:type="paragraph" w:styleId="NoSpacing">
    <w:name w:val="No Spacing"/>
    <w:link w:val="NoSpacingChar"/>
    <w:uiPriority w:val="1"/>
    <w:qFormat/>
    <w:rsid w:val="002818D5"/>
    <w:pPr>
      <w:spacing w:after="0" w:line="240" w:lineRule="auto"/>
    </w:pPr>
    <w:rPr>
      <w:rFonts w:ascii="Times New Roman" w:eastAsia="Times New Roman" w:hAnsi="Times New Roman"/>
      <w:lang w:eastAsia="ja-JP"/>
    </w:rPr>
  </w:style>
  <w:style w:type="table" w:styleId="TableGridLight">
    <w:name w:val="Grid Table Light"/>
    <w:basedOn w:val="TableNormal"/>
    <w:uiPriority w:val="40"/>
    <w:rsid w:val="002818D5"/>
    <w:pPr>
      <w:spacing w:after="0" w:line="240" w:lineRule="auto"/>
    </w:pPr>
    <w:rPr>
      <w:rFonts w:ascii="Calibri" w:eastAsia="SimSun" w:hAnsi="Calibri"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2818D5"/>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508B"/>
    <w:rPr>
      <w:color w:val="0563C1" w:themeColor="hyperlink"/>
      <w:u w:val="single"/>
    </w:rPr>
  </w:style>
  <w:style w:type="character" w:styleId="UnresolvedMention">
    <w:name w:val="Unresolved Mention"/>
    <w:basedOn w:val="DefaultParagraphFont"/>
    <w:uiPriority w:val="99"/>
    <w:semiHidden/>
    <w:unhideWhenUsed/>
    <w:rsid w:val="0058508B"/>
    <w:rPr>
      <w:color w:val="605E5C"/>
      <w:shd w:val="clear" w:color="auto" w:fill="E1DFDD"/>
    </w:rPr>
  </w:style>
  <w:style w:type="table" w:styleId="PlainTable2">
    <w:name w:val="Plain Table 2"/>
    <w:basedOn w:val="TableNormal"/>
    <w:uiPriority w:val="42"/>
    <w:rsid w:val="00D3299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14/jasem.v14i1.56564" TargetMode="External" /><Relationship Id="rId13" Type="http://schemas.openxmlformats.org/officeDocument/2006/relationships/hyperlink" Target="https://doi.org/10.1016/j.jenvrad.2011.10.005" TargetMode="External" /><Relationship Id="rId3" Type="http://schemas.openxmlformats.org/officeDocument/2006/relationships/webSettings" Target="webSettings.xml" /><Relationship Id="rId7" Type="http://schemas.openxmlformats.org/officeDocument/2006/relationships/hyperlink" Target="https://doi.org/10.1016/j.jenvrad.2023.107219" TargetMode="External" /><Relationship Id="rId12" Type="http://schemas.openxmlformats.org/officeDocument/2006/relationships/hyperlink" Target="https://doi.org/10.1007/s12665-021-09688-7" TargetMode="External" /><Relationship Id="rId2" Type="http://schemas.openxmlformats.org/officeDocument/2006/relationships/settings" Target="settings.xml" /><Relationship Id="rId16" Type="http://schemas.openxmlformats.org/officeDocument/2006/relationships/theme" Target="theme/theme1.xml" /><Relationship Id="rId1" Type="http://schemas.openxmlformats.org/officeDocument/2006/relationships/styles" Target="styles.xml" /><Relationship Id="rId6" Type="http://schemas.openxmlformats.org/officeDocument/2006/relationships/hyperlink" Target="https://doi.org/10.1016/j.radphyschem.2023.110186" TargetMode="External" /><Relationship Id="rId11" Type="http://schemas.openxmlformats.org/officeDocument/2006/relationships/hyperlink" Target="https://doi.org/10.1093/rpd/ncq107" TargetMode="External" /><Relationship Id="rId5" Type="http://schemas.openxmlformats.org/officeDocument/2006/relationships/image" Target="media/image2.png" /><Relationship Id="rId15" Type="http://schemas.openxmlformats.org/officeDocument/2006/relationships/fontTable" Target="fontTable.xml" /><Relationship Id="rId10" Type="http://schemas.openxmlformats.org/officeDocument/2006/relationships/hyperlink" Target="https://doi.org/10.1016/j.jrras.2015.03.003" TargetMode="External" /><Relationship Id="rId4" Type="http://schemas.openxmlformats.org/officeDocument/2006/relationships/image" Target="media/image1.png" /><Relationship Id="rId9" Type="http://schemas.openxmlformats.org/officeDocument/2006/relationships/hyperlink" Target="https://doi.org/10.1097/00004032-200402000-00001" TargetMode="External" /><Relationship Id="rId14" Type="http://schemas.openxmlformats.org/officeDocument/2006/relationships/hyperlink" Target="https://doi.org/10.33003/fjs-2021-0504-8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3190</Words>
  <Characters>18183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Ayodeji Bello</dc:creator>
  <cp:keywords/>
  <dc:description/>
  <cp:lastModifiedBy>Fatima Tijjani Shehu</cp:lastModifiedBy>
  <cp:revision>2</cp:revision>
  <dcterms:created xsi:type="dcterms:W3CDTF">2025-09-02T13:03:00Z</dcterms:created>
  <dcterms:modified xsi:type="dcterms:W3CDTF">2025-09-02T13:03:00Z</dcterms:modified>
</cp:coreProperties>
</file>