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A53C8" w14:textId="77777777" w:rsidR="002D3C02" w:rsidRPr="00AF0CED" w:rsidRDefault="002D3C02" w:rsidP="002D3C02">
      <w:pPr>
        <w:spacing w:line="360" w:lineRule="auto"/>
        <w:jc w:val="both"/>
        <w:rPr>
          <w:b/>
          <w:i/>
          <w:lang w:val="en-GB"/>
        </w:rPr>
      </w:pPr>
      <w:r w:rsidRPr="00C846AD">
        <w:rPr>
          <w:b/>
          <w:i/>
          <w:iCs/>
        </w:rPr>
        <w:t>In vitro</w:t>
      </w:r>
      <w:r w:rsidRPr="00C846AD">
        <w:rPr>
          <w:b/>
        </w:rPr>
        <w:t xml:space="preserve"> </w:t>
      </w:r>
      <w:proofErr w:type="spellStart"/>
      <w:r w:rsidRPr="00C846AD">
        <w:rPr>
          <w:b/>
        </w:rPr>
        <w:t>antiobes</w:t>
      </w:r>
      <w:r>
        <w:rPr>
          <w:b/>
        </w:rPr>
        <w:t>ogenic</w:t>
      </w:r>
      <w:proofErr w:type="spellEnd"/>
      <w:r w:rsidRPr="00C846AD">
        <w:rPr>
          <w:b/>
        </w:rPr>
        <w:t xml:space="preserve"> and </w:t>
      </w:r>
      <w:r w:rsidRPr="00C846AD">
        <w:rPr>
          <w:b/>
          <w:i/>
          <w:iCs/>
        </w:rPr>
        <w:t>in vivo</w:t>
      </w:r>
      <w:r w:rsidRPr="00C846AD">
        <w:rPr>
          <w:b/>
        </w:rPr>
        <w:t xml:space="preserve"> </w:t>
      </w:r>
      <w:bookmarkStart w:id="0" w:name="_Hlk202518980"/>
      <w:r w:rsidRPr="00C846AD">
        <w:rPr>
          <w:b/>
        </w:rPr>
        <w:t xml:space="preserve">anti-hyperlipidemic </w:t>
      </w:r>
      <w:bookmarkEnd w:id="0"/>
      <w:r w:rsidRPr="00C846AD">
        <w:rPr>
          <w:b/>
        </w:rPr>
        <w:t>effects of selected medicinal plants</w:t>
      </w:r>
    </w:p>
    <w:p w14:paraId="258D0D47" w14:textId="77777777" w:rsidR="002D3C02" w:rsidRPr="00805452" w:rsidRDefault="002D3C02" w:rsidP="002D3C02">
      <w:pPr>
        <w:spacing w:line="360" w:lineRule="auto"/>
        <w:jc w:val="both"/>
      </w:pPr>
      <w:r w:rsidRPr="00AF0CED">
        <w:t xml:space="preserve">Gabriel O. </w:t>
      </w:r>
      <w:proofErr w:type="spellStart"/>
      <w:r w:rsidRPr="00AF0CED">
        <w:t>Anyanwu</w:t>
      </w:r>
      <w:r w:rsidRPr="00AF0CED">
        <w:rPr>
          <w:vertAlign w:val="superscript"/>
        </w:rPr>
        <w:t>a</w:t>
      </w:r>
      <w:proofErr w:type="spellEnd"/>
      <w:r w:rsidRPr="00AF0CED">
        <w:t xml:space="preserve">, </w:t>
      </w:r>
      <w:proofErr w:type="spellStart"/>
      <w:r w:rsidRPr="00AF0CED">
        <w:t>Dorathy</w:t>
      </w:r>
      <w:proofErr w:type="spellEnd"/>
      <w:r w:rsidRPr="00AF0CED">
        <w:t xml:space="preserve"> O. </w:t>
      </w:r>
      <w:proofErr w:type="spellStart"/>
      <w:r w:rsidRPr="00AF0CED">
        <w:t>Anzaku</w:t>
      </w:r>
      <w:r w:rsidRPr="00AF0CED">
        <w:rPr>
          <w:vertAlign w:val="superscript"/>
        </w:rPr>
        <w:t>bc</w:t>
      </w:r>
      <w:proofErr w:type="spellEnd"/>
      <w:r w:rsidRPr="00AF0CED">
        <w:t>, Yanga</w:t>
      </w:r>
      <w:r>
        <w:t xml:space="preserve"> </w:t>
      </w:r>
      <w:proofErr w:type="spellStart"/>
      <w:r w:rsidRPr="00AF0CED">
        <w:t>Bulus</w:t>
      </w:r>
      <w:r w:rsidRPr="00AF0CED">
        <w:rPr>
          <w:vertAlign w:val="superscript"/>
        </w:rPr>
        <w:t>a</w:t>
      </w:r>
      <w:proofErr w:type="spellEnd"/>
      <w:r w:rsidRPr="00AF0CED">
        <w:t>, Jemima</w:t>
      </w:r>
      <w:r>
        <w:t xml:space="preserve"> </w:t>
      </w:r>
      <w:r w:rsidRPr="00AF0CED">
        <w:t>Girgi</w:t>
      </w:r>
      <w:r w:rsidRPr="00AF0CED">
        <w:rPr>
          <w:vertAlign w:val="superscript"/>
        </w:rPr>
        <w:t>a</w:t>
      </w:r>
      <w:r w:rsidRPr="00AF0CED">
        <w:t xml:space="preserve">, Sarah A. </w:t>
      </w:r>
      <w:proofErr w:type="spellStart"/>
      <w:r w:rsidRPr="00AF0CED">
        <w:t>Akande</w:t>
      </w:r>
      <w:r w:rsidRPr="00AF0CED">
        <w:rPr>
          <w:vertAlign w:val="superscript"/>
        </w:rPr>
        <w:t>d</w:t>
      </w:r>
      <w:proofErr w:type="spellEnd"/>
      <w:r w:rsidRPr="00AF0CED">
        <w:t xml:space="preserve">, Jennifer U. </w:t>
      </w:r>
      <w:proofErr w:type="spellStart"/>
      <w:r w:rsidRPr="00AF0CED">
        <w:t>Onochie</w:t>
      </w:r>
      <w:r w:rsidRPr="00AF0CED">
        <w:rPr>
          <w:vertAlign w:val="superscript"/>
        </w:rPr>
        <w:t>e</w:t>
      </w:r>
      <w:proofErr w:type="spellEnd"/>
      <w:r w:rsidRPr="00AF0CED">
        <w:t xml:space="preserve">, Emo A. </w:t>
      </w:r>
      <w:proofErr w:type="spellStart"/>
      <w:r w:rsidRPr="00AF0CED">
        <w:t>Ivo</w:t>
      </w:r>
      <w:r w:rsidRPr="00AF0CED">
        <w:rPr>
          <w:vertAlign w:val="superscript"/>
        </w:rPr>
        <w:t>f</w:t>
      </w:r>
      <w:proofErr w:type="spellEnd"/>
      <w:r w:rsidRPr="00AF0CED">
        <w:t xml:space="preserve">, </w:t>
      </w:r>
      <w:proofErr w:type="spellStart"/>
      <w:r w:rsidRPr="00AF0CED">
        <w:t>Ademuyiwa</w:t>
      </w:r>
      <w:proofErr w:type="spellEnd"/>
      <w:r w:rsidRPr="00AF0CED">
        <w:t xml:space="preserve"> J. </w:t>
      </w:r>
      <w:proofErr w:type="spellStart"/>
      <w:r w:rsidRPr="00AF0CED">
        <w:t>Adegbegi</w:t>
      </w:r>
      <w:r w:rsidRPr="00AF0CED">
        <w:rPr>
          <w:vertAlign w:val="superscript"/>
        </w:rPr>
        <w:t>g</w:t>
      </w:r>
      <w:proofErr w:type="spellEnd"/>
      <w:r>
        <w:t xml:space="preserve">, </w:t>
      </w:r>
      <w:proofErr w:type="spellStart"/>
      <w:r w:rsidRPr="00805452">
        <w:t>Usunomena</w:t>
      </w:r>
      <w:proofErr w:type="spellEnd"/>
      <w:r w:rsidRPr="00805452">
        <w:t xml:space="preserve"> </w:t>
      </w:r>
      <w:proofErr w:type="spellStart"/>
      <w:r w:rsidRPr="00805452">
        <w:t>Usunobun</w:t>
      </w:r>
      <w:r w:rsidRPr="00805452">
        <w:rPr>
          <w:vertAlign w:val="superscript"/>
        </w:rPr>
        <w:t>h</w:t>
      </w:r>
      <w:proofErr w:type="spellEnd"/>
    </w:p>
    <w:p w14:paraId="2F432CBE" w14:textId="77777777" w:rsidR="002D3C02" w:rsidRPr="00AF0CED" w:rsidRDefault="002D3C02" w:rsidP="002D3C02">
      <w:pPr>
        <w:spacing w:line="360" w:lineRule="auto"/>
        <w:jc w:val="both"/>
      </w:pPr>
    </w:p>
    <w:p w14:paraId="3F184798" w14:textId="77777777" w:rsidR="002D3C02" w:rsidRPr="00AF0CED" w:rsidRDefault="002D3C02" w:rsidP="002D3C02">
      <w:pPr>
        <w:spacing w:line="360" w:lineRule="auto"/>
        <w:jc w:val="both"/>
      </w:pPr>
      <w:proofErr w:type="spellStart"/>
      <w:r w:rsidRPr="00805452">
        <w:rPr>
          <w:vertAlign w:val="superscript"/>
        </w:rPr>
        <w:t>a</w:t>
      </w:r>
      <w:r w:rsidRPr="00AF0CED">
        <w:t>Department</w:t>
      </w:r>
      <w:proofErr w:type="spellEnd"/>
      <w:r w:rsidRPr="00AF0CED">
        <w:t xml:space="preserve"> of Biochemistry, Bingham University, Karu, Nasarawa State, Nigeria </w:t>
      </w:r>
    </w:p>
    <w:p w14:paraId="217F7281" w14:textId="77777777" w:rsidR="002D3C02" w:rsidRPr="00AF0CED" w:rsidRDefault="002D3C02" w:rsidP="002D3C02">
      <w:pPr>
        <w:spacing w:line="360" w:lineRule="auto"/>
        <w:jc w:val="both"/>
      </w:pPr>
      <w:proofErr w:type="spellStart"/>
      <w:r w:rsidRPr="00805452">
        <w:rPr>
          <w:vertAlign w:val="superscript"/>
        </w:rPr>
        <w:t>b</w:t>
      </w:r>
      <w:r w:rsidRPr="00AF0CED">
        <w:t>Department</w:t>
      </w:r>
      <w:proofErr w:type="spellEnd"/>
      <w:r w:rsidRPr="00AF0CED">
        <w:t xml:space="preserve"> of Biochemistry, Covenant University, Ota, Ogun State, Nigeria</w:t>
      </w:r>
    </w:p>
    <w:p w14:paraId="31588200" w14:textId="77777777" w:rsidR="002D3C02" w:rsidRPr="00AF0CED" w:rsidRDefault="002D3C02" w:rsidP="002D3C02">
      <w:pPr>
        <w:spacing w:line="360" w:lineRule="auto"/>
        <w:jc w:val="both"/>
      </w:pPr>
      <w:proofErr w:type="spellStart"/>
      <w:r w:rsidRPr="00805452">
        <w:rPr>
          <w:vertAlign w:val="superscript"/>
        </w:rPr>
        <w:t>c</w:t>
      </w:r>
      <w:r w:rsidRPr="00AF0CED">
        <w:t>Federal</w:t>
      </w:r>
      <w:proofErr w:type="spellEnd"/>
      <w:r w:rsidRPr="00AF0CED">
        <w:t xml:space="preserve"> College of Medical Laboratory Technology Science, Jos, Plateau State, Nigeria</w:t>
      </w:r>
    </w:p>
    <w:p w14:paraId="2B800A40" w14:textId="77777777" w:rsidR="002D3C02" w:rsidRPr="00AF0CED" w:rsidRDefault="002D3C02" w:rsidP="002D3C02">
      <w:pPr>
        <w:spacing w:line="360" w:lineRule="auto"/>
        <w:jc w:val="both"/>
      </w:pPr>
      <w:proofErr w:type="spellStart"/>
      <w:r w:rsidRPr="00805452">
        <w:rPr>
          <w:vertAlign w:val="superscript"/>
        </w:rPr>
        <w:t>d</w:t>
      </w:r>
      <w:r w:rsidRPr="00AF0CED">
        <w:t>Biotechnology</w:t>
      </w:r>
      <w:proofErr w:type="spellEnd"/>
      <w:r w:rsidRPr="00AF0CED">
        <w:t xml:space="preserve"> Advanced Research Centre, </w:t>
      </w:r>
      <w:proofErr w:type="spellStart"/>
      <w:r w:rsidRPr="00AF0CED">
        <w:t>Sheda</w:t>
      </w:r>
      <w:proofErr w:type="spellEnd"/>
      <w:r w:rsidRPr="00AF0CED">
        <w:t xml:space="preserve"> Science and Technology Complex, Abuja, Nigeria.</w:t>
      </w:r>
    </w:p>
    <w:p w14:paraId="6A160154" w14:textId="77777777" w:rsidR="002D3C02" w:rsidRPr="00AF0CED" w:rsidRDefault="002D3C02" w:rsidP="002D3C02">
      <w:pPr>
        <w:spacing w:line="360" w:lineRule="auto"/>
        <w:jc w:val="both"/>
      </w:pPr>
      <w:proofErr w:type="spellStart"/>
      <w:r w:rsidRPr="00805452">
        <w:rPr>
          <w:vertAlign w:val="superscript"/>
        </w:rPr>
        <w:t>e</w:t>
      </w:r>
      <w:r w:rsidRPr="00AF0CED">
        <w:t>Physical</w:t>
      </w:r>
      <w:proofErr w:type="spellEnd"/>
      <w:r w:rsidRPr="00AF0CED">
        <w:t xml:space="preserve"> and Chemical Oceanography, Nigerian Institute for Oceanography and Marine Research (NIOMR), Zambezi </w:t>
      </w:r>
      <w:r>
        <w:t>Crescent</w:t>
      </w:r>
      <w:r w:rsidRPr="00AF0CED">
        <w:t>, Maitama, Abuja</w:t>
      </w:r>
      <w:r>
        <w:t>.</w:t>
      </w:r>
      <w:r w:rsidRPr="00AF0CED">
        <w:t xml:space="preserve"> </w:t>
      </w:r>
    </w:p>
    <w:p w14:paraId="693DE9AD" w14:textId="77777777" w:rsidR="002D3C02" w:rsidRPr="00AF0CED" w:rsidRDefault="002D3C02" w:rsidP="002D3C02">
      <w:pPr>
        <w:spacing w:line="360" w:lineRule="auto"/>
        <w:jc w:val="both"/>
      </w:pPr>
      <w:proofErr w:type="spellStart"/>
      <w:r w:rsidRPr="00805452">
        <w:rPr>
          <w:vertAlign w:val="superscript"/>
        </w:rPr>
        <w:t>f</w:t>
      </w:r>
      <w:r w:rsidRPr="00AF0CED">
        <w:t>Defence</w:t>
      </w:r>
      <w:proofErr w:type="spellEnd"/>
      <w:r w:rsidRPr="00AF0CED">
        <w:t xml:space="preserve"> Reference Laboratory, </w:t>
      </w:r>
      <w:r w:rsidRPr="00393F25">
        <w:t xml:space="preserve">Mogadishu </w:t>
      </w:r>
      <w:r>
        <w:t>Cantonment</w:t>
      </w:r>
      <w:r w:rsidRPr="00393F25">
        <w:t>, Asokoro, Abuja, FCT, Nigeria.</w:t>
      </w:r>
      <w:r w:rsidRPr="00AF0CED">
        <w:t xml:space="preserve"> </w:t>
      </w:r>
    </w:p>
    <w:p w14:paraId="073A7CD9" w14:textId="77777777" w:rsidR="002D3C02" w:rsidRPr="00AF0CED" w:rsidRDefault="002D3C02" w:rsidP="002D3C02">
      <w:pPr>
        <w:spacing w:line="360" w:lineRule="auto"/>
        <w:jc w:val="both"/>
      </w:pPr>
      <w:proofErr w:type="spellStart"/>
      <w:r w:rsidRPr="00805452">
        <w:rPr>
          <w:vertAlign w:val="superscript"/>
        </w:rPr>
        <w:t>g</w:t>
      </w:r>
      <w:r w:rsidRPr="00AF0CED">
        <w:t>Department</w:t>
      </w:r>
      <w:proofErr w:type="spellEnd"/>
      <w:r w:rsidRPr="00AF0CED">
        <w:t xml:space="preserve"> of Science Laboratory Technology, Rufus Giwa Polytechnic Owo, Ondo State, Nigeria</w:t>
      </w:r>
      <w:r>
        <w:t>.</w:t>
      </w:r>
      <w:r w:rsidRPr="00AF0CED">
        <w:t xml:space="preserve"> </w:t>
      </w:r>
    </w:p>
    <w:p w14:paraId="69D452FE" w14:textId="77777777" w:rsidR="002D3C02" w:rsidRPr="0049395F" w:rsidRDefault="002D3C02" w:rsidP="002D3C02">
      <w:pPr>
        <w:jc w:val="both"/>
      </w:pPr>
      <w:proofErr w:type="spellStart"/>
      <w:r>
        <w:rPr>
          <w:vertAlign w:val="superscript"/>
        </w:rPr>
        <w:t>h</w:t>
      </w:r>
      <w:r w:rsidRPr="0085331C">
        <w:t>Department</w:t>
      </w:r>
      <w:proofErr w:type="spellEnd"/>
      <w:r w:rsidRPr="0085331C">
        <w:t xml:space="preserve"> of Biochemistry, Faculty of Basic Medical Sciences, Edo State University </w:t>
      </w:r>
      <w:proofErr w:type="spellStart"/>
      <w:r>
        <w:t>Iyamo</w:t>
      </w:r>
      <w:proofErr w:type="spellEnd"/>
      <w:r w:rsidRPr="0085331C">
        <w:t>, Edo State, Nigeria</w:t>
      </w:r>
      <w:r>
        <w:t>.</w:t>
      </w:r>
    </w:p>
    <w:p w14:paraId="1180C307" w14:textId="77777777" w:rsidR="002D3C02" w:rsidRPr="00AF0CED" w:rsidRDefault="002D3C02" w:rsidP="002D3C02">
      <w:pPr>
        <w:spacing w:line="360" w:lineRule="auto"/>
        <w:jc w:val="both"/>
      </w:pPr>
      <w:r w:rsidRPr="00AF0CED">
        <w:t xml:space="preserve">  </w:t>
      </w:r>
    </w:p>
    <w:p w14:paraId="13C69479" w14:textId="77777777" w:rsidR="002D3C02" w:rsidRDefault="002D3C02" w:rsidP="002D3C02">
      <w:pPr>
        <w:spacing w:line="360" w:lineRule="auto"/>
        <w:jc w:val="both"/>
      </w:pPr>
      <w:r w:rsidRPr="0049395F">
        <w:t>Corresponding author's e-mail address: gabrielanyanwu@binghamuni.edu.ng (G.O Anyanwu)</w:t>
      </w:r>
    </w:p>
    <w:p w14:paraId="443AB0E3" w14:textId="77777777" w:rsidR="002D3C02" w:rsidRDefault="002D3C02" w:rsidP="002D3C02">
      <w:pPr>
        <w:spacing w:line="360" w:lineRule="auto"/>
        <w:jc w:val="both"/>
        <w:rPr>
          <w:b/>
        </w:rPr>
      </w:pPr>
      <w:r>
        <w:rPr>
          <w:b/>
        </w:rPr>
        <w:t>T</w:t>
      </w:r>
      <w:r w:rsidRPr="00155A66">
        <w:rPr>
          <w:b/>
        </w:rPr>
        <w:t>arget sub-theme</w:t>
      </w:r>
      <w:r>
        <w:rPr>
          <w:b/>
        </w:rPr>
        <w:t>:</w:t>
      </w:r>
      <w:r w:rsidRPr="003A7127">
        <w:rPr>
          <w:b/>
        </w:rPr>
        <w:tab/>
        <w:t xml:space="preserve">Health and wellbeing: Integrating Scientific research and humanities for better healthcare solutions </w:t>
      </w:r>
    </w:p>
    <w:p w14:paraId="1AA0C085" w14:textId="77777777" w:rsidR="002D3C02" w:rsidRPr="00AF0CED" w:rsidRDefault="002D3C02" w:rsidP="002D3C02">
      <w:pPr>
        <w:spacing w:line="360" w:lineRule="auto"/>
        <w:jc w:val="both"/>
        <w:rPr>
          <w:b/>
        </w:rPr>
      </w:pPr>
    </w:p>
    <w:p w14:paraId="24066FCE" w14:textId="77777777" w:rsidR="002D3C02" w:rsidRPr="00AF0CED" w:rsidRDefault="002D3C02" w:rsidP="002D3C02">
      <w:pPr>
        <w:spacing w:line="360" w:lineRule="auto"/>
        <w:jc w:val="both"/>
        <w:rPr>
          <w:b/>
        </w:rPr>
      </w:pPr>
      <w:r w:rsidRPr="00AF0CED">
        <w:rPr>
          <w:b/>
        </w:rPr>
        <w:t>ABSTRACT</w:t>
      </w:r>
    </w:p>
    <w:p w14:paraId="25FC023C" w14:textId="4504E262" w:rsidR="002D3C02" w:rsidRPr="002D3C02" w:rsidRDefault="002D3C02" w:rsidP="002D3C02">
      <w:pPr>
        <w:spacing w:line="360" w:lineRule="auto"/>
        <w:jc w:val="both"/>
        <w:rPr>
          <w:color w:val="EE0000"/>
        </w:rPr>
      </w:pPr>
      <w:r>
        <w:t>M</w:t>
      </w:r>
      <w:r w:rsidRPr="0019497C">
        <w:t xml:space="preserve">edicinal </w:t>
      </w:r>
      <w:r>
        <w:t>plants are</w:t>
      </w:r>
      <w:r w:rsidRPr="0019497C">
        <w:t xml:space="preserve"> employed </w:t>
      </w:r>
      <w:r>
        <w:t>to alleviate</w:t>
      </w:r>
      <w:r w:rsidRPr="0019497C">
        <w:t xml:space="preserve"> different diseases in </w:t>
      </w:r>
      <w:r>
        <w:t>W</w:t>
      </w:r>
      <w:r w:rsidRPr="0019497C">
        <w:t>est Africa.</w:t>
      </w:r>
      <w:r>
        <w:t xml:space="preserve"> T</w:t>
      </w:r>
      <w:r w:rsidRPr="009D0EFA">
        <w:t>he inhibition of</w:t>
      </w:r>
      <w:r>
        <w:t xml:space="preserve"> amylase and</w:t>
      </w:r>
      <w:r w:rsidRPr="009D0EFA">
        <w:t xml:space="preserve"> lipase </w:t>
      </w:r>
      <w:r>
        <w:t>are</w:t>
      </w:r>
      <w:r w:rsidRPr="009D0EFA">
        <w:t xml:space="preserve"> important </w:t>
      </w:r>
      <w:r>
        <w:t>targets for anti-</w:t>
      </w:r>
      <w:r w:rsidRPr="009D0EFA">
        <w:t xml:space="preserve">obesity </w:t>
      </w:r>
      <w:r>
        <w:t>drugs/agents; likewise, the inhibition of</w:t>
      </w:r>
      <w:r w:rsidRPr="00955A16">
        <w:t xml:space="preserve"> 3-hydroxy-3-methylglutaryl coenzyme A (HMG-CoA) reductase</w:t>
      </w:r>
      <w:r>
        <w:t xml:space="preserve"> for </w:t>
      </w:r>
      <w:r w:rsidRPr="009E4EA5">
        <w:t>anti-hyperlipidemic</w:t>
      </w:r>
      <w:r>
        <w:t xml:space="preserve"> drugs/agents. </w:t>
      </w:r>
      <w:r w:rsidRPr="00AF0CED">
        <w:t xml:space="preserve">This study aimed to determine the </w:t>
      </w:r>
      <w:bookmarkStart w:id="1" w:name="_Hlk201405272"/>
      <w:r w:rsidRPr="00AF0CED">
        <w:t xml:space="preserve">anti-obesogenic </w:t>
      </w:r>
      <w:bookmarkEnd w:id="1"/>
      <w:r w:rsidRPr="00AF0CED">
        <w:t xml:space="preserve">and anti-hyperlipidemic activities of selected medicinal plants in </w:t>
      </w:r>
      <w:r w:rsidRPr="00AF0CED">
        <w:rPr>
          <w:i/>
        </w:rPr>
        <w:t>in vitro</w:t>
      </w:r>
      <w:r w:rsidRPr="00AF0CED">
        <w:t xml:space="preserve"> and </w:t>
      </w:r>
      <w:r w:rsidRPr="00AF0CED">
        <w:rPr>
          <w:i/>
        </w:rPr>
        <w:t>in vivo</w:t>
      </w:r>
      <w:r w:rsidRPr="00AF0CED">
        <w:t xml:space="preserve"> models</w:t>
      </w:r>
      <w:r>
        <w:t>,</w:t>
      </w:r>
      <w:r w:rsidRPr="00AF0CED">
        <w:t xml:space="preserve"> respectively. Ethanolic extracts </w:t>
      </w:r>
      <w:r>
        <w:t xml:space="preserve">and fractions </w:t>
      </w:r>
      <w:r w:rsidRPr="00AF0CED">
        <w:t xml:space="preserve">of </w:t>
      </w:r>
      <w:r>
        <w:t>selected</w:t>
      </w:r>
      <w:r w:rsidRPr="00AF0CED">
        <w:t xml:space="preserve"> </w:t>
      </w:r>
      <w:r>
        <w:t>plant</w:t>
      </w:r>
      <w:r w:rsidRPr="00AF0CED">
        <w:t xml:space="preserve">s were </w:t>
      </w:r>
      <w:r>
        <w:t>initially screen</w:t>
      </w:r>
      <w:r w:rsidRPr="00AF0CED">
        <w:t xml:space="preserve">ed </w:t>
      </w:r>
      <w:r w:rsidRPr="000D1C3A">
        <w:rPr>
          <w:i/>
        </w:rPr>
        <w:t>in vitro</w:t>
      </w:r>
      <w:r w:rsidRPr="00AF0CED">
        <w:t xml:space="preserve"> </w:t>
      </w:r>
      <w:r>
        <w:t>against</w:t>
      </w:r>
      <w:r w:rsidRPr="00AF0CED">
        <w:t xml:space="preserve"> pancreatic lipase </w:t>
      </w:r>
      <w:r>
        <w:t xml:space="preserve">(p-nitrophenyl butyrate method) </w:t>
      </w:r>
      <w:r w:rsidRPr="00AF0CED">
        <w:t>and alpha-amylase</w:t>
      </w:r>
      <w:r>
        <w:t xml:space="preserve"> (starch-iodine method) </w:t>
      </w:r>
      <w:r w:rsidRPr="00AF0CED">
        <w:t>at a concentration of 5</w:t>
      </w:r>
      <w:r w:rsidR="00137389">
        <w:t xml:space="preserve"> </w:t>
      </w:r>
      <w:r w:rsidRPr="00AF0CED">
        <w:t>mg/ml</w:t>
      </w:r>
      <w:r>
        <w:t xml:space="preserve">, and the active plants were further screened at </w:t>
      </w:r>
      <w:r w:rsidR="00137389">
        <w:t>1</w:t>
      </w:r>
      <w:r>
        <w:t xml:space="preserve"> </w:t>
      </w:r>
      <w:r w:rsidR="00137389">
        <w:t>m</w:t>
      </w:r>
      <w:r>
        <w:t>g/ml</w:t>
      </w:r>
      <w:r w:rsidRPr="00AF0CED">
        <w:t>.</w:t>
      </w:r>
      <w:r>
        <w:t xml:space="preserve"> Then, the</w:t>
      </w:r>
      <w:r w:rsidRPr="00AF0CED">
        <w:t xml:space="preserve"> IC</w:t>
      </w:r>
      <w:r w:rsidRPr="00AF0CED">
        <w:rPr>
          <w:vertAlign w:val="subscript"/>
        </w:rPr>
        <w:t>50</w:t>
      </w:r>
      <w:r w:rsidRPr="00AF0CED">
        <w:t xml:space="preserve"> of plants that were active against alpha-amylase and lipase was determined. Thirty-five </w:t>
      </w:r>
      <w:r>
        <w:t>Wistar</w:t>
      </w:r>
      <w:r w:rsidRPr="00AF0CED">
        <w:t xml:space="preserve"> rats </w:t>
      </w:r>
      <w:r>
        <w:t xml:space="preserve">grouped into </w:t>
      </w:r>
      <w:r w:rsidRPr="00AF0CED">
        <w:t>five</w:t>
      </w:r>
      <w:r>
        <w:t xml:space="preserve"> </w:t>
      </w:r>
      <w:r w:rsidRPr="00AF0CED">
        <w:t>were induced with hyperlipidemia using poloxamer 407</w:t>
      </w:r>
      <w:r>
        <w:t xml:space="preserve"> </w:t>
      </w:r>
      <w:r w:rsidRPr="00AF0CED">
        <w:t>(1.0</w:t>
      </w:r>
      <w:r>
        <w:t xml:space="preserve"> </w:t>
      </w:r>
      <w:r w:rsidRPr="00AF0CED">
        <w:t xml:space="preserve">g/kg </w:t>
      </w:r>
      <w:proofErr w:type="spellStart"/>
      <w:r w:rsidRPr="00AF0CED">
        <w:t>bw</w:t>
      </w:r>
      <w:proofErr w:type="spellEnd"/>
      <w:r w:rsidRPr="00AF0CED">
        <w:t xml:space="preserve">) intraperitoneally with the normal, </w:t>
      </w:r>
      <w:r w:rsidRPr="00AF0CED">
        <w:lastRenderedPageBreak/>
        <w:t xml:space="preserve">hyperlipidemic, and standard drug control </w:t>
      </w:r>
      <w:r>
        <w:t xml:space="preserve">groups </w:t>
      </w:r>
      <w:r w:rsidRPr="00AF0CED">
        <w:t>being groups 1, 2, and 3</w:t>
      </w:r>
      <w:r>
        <w:t>,</w:t>
      </w:r>
      <w:r w:rsidRPr="00AF0CED">
        <w:t xml:space="preserve"> respectively.</w:t>
      </w:r>
      <w:r>
        <w:t xml:space="preserve"> </w:t>
      </w:r>
      <w:r w:rsidRPr="00AF0CED">
        <w:t xml:space="preserve">The plant extracts that were active </w:t>
      </w:r>
      <w:r>
        <w:t>against</w:t>
      </w:r>
      <w:r w:rsidRPr="00AF0CED">
        <w:t xml:space="preserve"> </w:t>
      </w:r>
      <w:r>
        <w:t>alpha-amylase</w:t>
      </w:r>
      <w:r w:rsidRPr="00AF0CED">
        <w:t xml:space="preserve"> were</w:t>
      </w:r>
      <w:r w:rsidRPr="00AF0CED">
        <w:rPr>
          <w:i/>
          <w:shd w:val="clear" w:color="auto" w:fill="FFFFFF"/>
        </w:rPr>
        <w:t xml:space="preserve"> L. aegyptiaca</w:t>
      </w:r>
      <w:r>
        <w:rPr>
          <w:shd w:val="clear" w:color="auto" w:fill="FFFFFF"/>
        </w:rPr>
        <w:t xml:space="preserve"> (</w:t>
      </w:r>
      <w:r w:rsidRPr="00AF0CED">
        <w:rPr>
          <w:lang w:val="en-GB"/>
        </w:rPr>
        <w:t>113 ± 0.14</w:t>
      </w:r>
      <w:r>
        <w:rPr>
          <w:lang w:val="en-GB"/>
        </w:rPr>
        <w:t xml:space="preserve"> </w:t>
      </w:r>
      <w:r w:rsidRPr="005E0B39">
        <w:rPr>
          <w:lang w:val="en-GB"/>
        </w:rPr>
        <w:t>µg/mL</w:t>
      </w:r>
      <w:r>
        <w:rPr>
          <w:shd w:val="clear" w:color="auto" w:fill="FFFFFF"/>
        </w:rPr>
        <w:t>)</w:t>
      </w:r>
      <w:r w:rsidRPr="00AF0CED">
        <w:rPr>
          <w:i/>
          <w:shd w:val="clear" w:color="auto" w:fill="FFFFFF"/>
        </w:rPr>
        <w:t xml:space="preserve">, </w:t>
      </w:r>
      <w:r w:rsidRPr="00AF0CED">
        <w:rPr>
          <w:i/>
          <w:lang w:val="en-GB"/>
        </w:rPr>
        <w:t>V. subterranea</w:t>
      </w:r>
      <w:r>
        <w:rPr>
          <w:lang w:val="en-GB"/>
        </w:rPr>
        <w:t xml:space="preserve"> (</w:t>
      </w:r>
      <w:r w:rsidRPr="005E0B39">
        <w:rPr>
          <w:lang w:val="en-GB"/>
        </w:rPr>
        <w:t>95.66 ± 0.12</w:t>
      </w:r>
      <w:r>
        <w:rPr>
          <w:lang w:val="en-GB"/>
        </w:rPr>
        <w:t xml:space="preserve"> </w:t>
      </w:r>
      <w:r w:rsidRPr="005E0B39">
        <w:rPr>
          <w:lang w:val="en-GB"/>
        </w:rPr>
        <w:t>µg/mL</w:t>
      </w:r>
      <w:r>
        <w:rPr>
          <w:lang w:val="en-GB"/>
        </w:rPr>
        <w:t>)</w:t>
      </w:r>
      <w:r w:rsidRPr="00AF0CED">
        <w:rPr>
          <w:i/>
          <w:lang w:val="en-GB"/>
        </w:rPr>
        <w:t xml:space="preserve">, </w:t>
      </w:r>
      <w:r w:rsidRPr="00AF0CED">
        <w:rPr>
          <w:i/>
        </w:rPr>
        <w:t>B. vulgaris</w:t>
      </w:r>
      <w:r>
        <w:t xml:space="preserve"> (</w:t>
      </w:r>
      <w:r w:rsidRPr="005E0B39">
        <w:t>262.3 ± 0.09</w:t>
      </w:r>
      <w:r>
        <w:t xml:space="preserve"> </w:t>
      </w:r>
      <w:r w:rsidRPr="005E0B39">
        <w:rPr>
          <w:lang w:val="en-GB"/>
        </w:rPr>
        <w:t>µg/mL</w:t>
      </w:r>
      <w:r>
        <w:t>)</w:t>
      </w:r>
      <w:r w:rsidRPr="00AF0CED">
        <w:rPr>
          <w:i/>
        </w:rPr>
        <w:t xml:space="preserve">, </w:t>
      </w:r>
      <w:r w:rsidRPr="00AF0CED">
        <w:t xml:space="preserve">and </w:t>
      </w:r>
      <w:r w:rsidRPr="00AF0CED">
        <w:rPr>
          <w:i/>
          <w:lang w:val="en-GB"/>
        </w:rPr>
        <w:t xml:space="preserve">C. </w:t>
      </w:r>
      <w:proofErr w:type="spellStart"/>
      <w:r w:rsidRPr="00AF0CED">
        <w:rPr>
          <w:i/>
          <w:lang w:val="en-GB"/>
        </w:rPr>
        <w:t>dactylon</w:t>
      </w:r>
      <w:proofErr w:type="spellEnd"/>
      <w:r>
        <w:rPr>
          <w:lang w:val="en-GB"/>
        </w:rPr>
        <w:t xml:space="preserve"> (</w:t>
      </w:r>
      <w:r w:rsidRPr="005E0B39">
        <w:rPr>
          <w:lang w:val="en-GB"/>
        </w:rPr>
        <w:t>216 ± 0.15</w:t>
      </w:r>
      <w:r>
        <w:rPr>
          <w:lang w:val="en-GB"/>
        </w:rPr>
        <w:t xml:space="preserve"> </w:t>
      </w:r>
      <w:r w:rsidRPr="005E0B39">
        <w:rPr>
          <w:lang w:val="en-GB"/>
        </w:rPr>
        <w:t>µg/mL</w:t>
      </w:r>
      <w:r>
        <w:rPr>
          <w:lang w:val="en-GB"/>
        </w:rPr>
        <w:t>)</w:t>
      </w:r>
      <w:r>
        <w:rPr>
          <w:shd w:val="clear" w:color="auto" w:fill="FFFFFF"/>
        </w:rPr>
        <w:t>, but only</w:t>
      </w:r>
      <w:r w:rsidRPr="00AF0CED">
        <w:t xml:space="preserve"> </w:t>
      </w:r>
      <w:r w:rsidRPr="00AF0CED">
        <w:rPr>
          <w:i/>
          <w:lang w:val="en-GB"/>
        </w:rPr>
        <w:t xml:space="preserve">V. subterranea </w:t>
      </w:r>
      <w:r>
        <w:rPr>
          <w:lang w:val="en-GB"/>
        </w:rPr>
        <w:t>(</w:t>
      </w:r>
      <w:r w:rsidRPr="005E0B39">
        <w:rPr>
          <w:lang w:val="en-GB"/>
        </w:rPr>
        <w:t xml:space="preserve">64.50 </w:t>
      </w:r>
      <w:bookmarkStart w:id="2" w:name="_Hlk202527542"/>
      <w:r w:rsidRPr="005E0B39">
        <w:rPr>
          <w:lang w:val="en-GB"/>
        </w:rPr>
        <w:t>±</w:t>
      </w:r>
      <w:bookmarkEnd w:id="2"/>
      <w:r w:rsidRPr="005E0B39">
        <w:rPr>
          <w:lang w:val="en-GB"/>
        </w:rPr>
        <w:t xml:space="preserve"> 0.84</w:t>
      </w:r>
      <w:r>
        <w:rPr>
          <w:lang w:val="en-GB"/>
        </w:rPr>
        <w:t xml:space="preserve"> </w:t>
      </w:r>
      <w:r w:rsidRPr="005E0B39">
        <w:rPr>
          <w:lang w:val="en-GB"/>
        </w:rPr>
        <w:t>µg/mL</w:t>
      </w:r>
      <w:r>
        <w:rPr>
          <w:lang w:val="en-GB"/>
        </w:rPr>
        <w:t xml:space="preserve">) </w:t>
      </w:r>
      <w:r w:rsidRPr="00AF0CED">
        <w:rPr>
          <w:i/>
          <w:lang w:val="en-GB"/>
        </w:rPr>
        <w:t>and</w:t>
      </w:r>
      <w:r w:rsidRPr="00AF0CED">
        <w:t xml:space="preserve"> </w:t>
      </w:r>
      <w:r w:rsidRPr="00AF0CED">
        <w:rPr>
          <w:i/>
        </w:rPr>
        <w:t xml:space="preserve">O. </w:t>
      </w:r>
      <w:proofErr w:type="spellStart"/>
      <w:r w:rsidRPr="00AF0CED">
        <w:rPr>
          <w:i/>
        </w:rPr>
        <w:t>gratissimum</w:t>
      </w:r>
      <w:proofErr w:type="spellEnd"/>
      <w:r w:rsidRPr="00AF0CED">
        <w:t xml:space="preserve"> </w:t>
      </w:r>
      <w:r>
        <w:t>(</w:t>
      </w:r>
      <w:r w:rsidRPr="005E0B39">
        <w:t>71.65 ± 0.12</w:t>
      </w:r>
      <w:r>
        <w:t xml:space="preserve"> </w:t>
      </w:r>
      <w:r w:rsidRPr="005E0B39">
        <w:rPr>
          <w:lang w:val="en-GB"/>
        </w:rPr>
        <w:t>µg/mL</w:t>
      </w:r>
      <w:r>
        <w:t xml:space="preserve">) </w:t>
      </w:r>
      <w:r w:rsidRPr="00AF0CED">
        <w:t>extracts</w:t>
      </w:r>
      <w:r>
        <w:t xml:space="preserve"> were active against lipase</w:t>
      </w:r>
      <w:r w:rsidRPr="00AF0CED">
        <w:t xml:space="preserve">. The n-butanol fraction of </w:t>
      </w:r>
      <w:r w:rsidRPr="00AF0CED">
        <w:rPr>
          <w:i/>
        </w:rPr>
        <w:t xml:space="preserve">O. </w:t>
      </w:r>
      <w:proofErr w:type="spellStart"/>
      <w:r w:rsidRPr="00AF0CED">
        <w:rPr>
          <w:i/>
        </w:rPr>
        <w:t>gratissimum</w:t>
      </w:r>
      <w:proofErr w:type="spellEnd"/>
      <w:r w:rsidRPr="00AF0CED">
        <w:t xml:space="preserve"> </w:t>
      </w:r>
      <w:r>
        <w:t>and</w:t>
      </w:r>
      <w:r w:rsidRPr="00AF0CED">
        <w:t xml:space="preserve"> </w:t>
      </w:r>
      <w:r w:rsidRPr="00AF0CED">
        <w:rPr>
          <w:i/>
        </w:rPr>
        <w:t>V. subterranea</w:t>
      </w:r>
      <w:r w:rsidRPr="00AF0CED">
        <w:t xml:space="preserve"> inhibited pancreatic lipase activity</w:t>
      </w:r>
      <w:r>
        <w:t xml:space="preserve"> with an IC</w:t>
      </w:r>
      <w:r>
        <w:rPr>
          <w:vertAlign w:val="subscript"/>
        </w:rPr>
        <w:t xml:space="preserve">50 </w:t>
      </w:r>
      <w:r>
        <w:t xml:space="preserve">of 75.95 </w:t>
      </w:r>
      <w:r w:rsidRPr="005E0B39">
        <w:rPr>
          <w:lang w:val="en-GB"/>
        </w:rPr>
        <w:t>±</w:t>
      </w:r>
      <w:r>
        <w:t xml:space="preserve"> 0.47</w:t>
      </w:r>
      <w:r w:rsidRPr="004F490E">
        <w:t xml:space="preserve"> µg/mL</w:t>
      </w:r>
      <w:r>
        <w:t xml:space="preserve"> and 55.41 </w:t>
      </w:r>
      <w:r w:rsidRPr="005E0B39">
        <w:rPr>
          <w:lang w:val="en-GB"/>
        </w:rPr>
        <w:t>±</w:t>
      </w:r>
      <w:r>
        <w:rPr>
          <w:lang w:val="en-GB"/>
        </w:rPr>
        <w:t xml:space="preserve"> </w:t>
      </w:r>
      <w:r>
        <w:t>0.15</w:t>
      </w:r>
      <w:r w:rsidRPr="004F490E">
        <w:t xml:space="preserve"> µg/mL</w:t>
      </w:r>
      <w:r>
        <w:t xml:space="preserve"> respectively</w:t>
      </w:r>
      <w:r w:rsidRPr="00AF0CED">
        <w:t>. The n-butanol fractions (150 and 300</w:t>
      </w:r>
      <w:r>
        <w:t xml:space="preserve"> </w:t>
      </w:r>
      <w:r w:rsidRPr="00AF0CED">
        <w:t xml:space="preserve">mg/kg </w:t>
      </w:r>
      <w:proofErr w:type="spellStart"/>
      <w:r w:rsidRPr="00AF0CED">
        <w:t>bw</w:t>
      </w:r>
      <w:proofErr w:type="spellEnd"/>
      <w:r w:rsidRPr="00AF0CED">
        <w:t xml:space="preserve">) of </w:t>
      </w:r>
      <w:r w:rsidRPr="00AF0CED">
        <w:rPr>
          <w:i/>
        </w:rPr>
        <w:t>V</w:t>
      </w:r>
      <w:r>
        <w:rPr>
          <w:i/>
        </w:rPr>
        <w:t>.</w:t>
      </w:r>
      <w:r w:rsidRPr="00AF0CED">
        <w:rPr>
          <w:i/>
        </w:rPr>
        <w:t xml:space="preserve"> </w:t>
      </w:r>
      <w:proofErr w:type="spellStart"/>
      <w:r w:rsidRPr="00AF0CED">
        <w:rPr>
          <w:i/>
        </w:rPr>
        <w:t>subterrenea</w:t>
      </w:r>
      <w:proofErr w:type="spellEnd"/>
      <w:r w:rsidRPr="00AF0CED">
        <w:t xml:space="preserve"> and </w:t>
      </w:r>
      <w:r w:rsidRPr="00AF0CED">
        <w:rPr>
          <w:i/>
        </w:rPr>
        <w:t>O</w:t>
      </w:r>
      <w:r>
        <w:rPr>
          <w:i/>
        </w:rPr>
        <w:t>.</w:t>
      </w:r>
      <w:r w:rsidRPr="00AF0CED">
        <w:rPr>
          <w:i/>
        </w:rPr>
        <w:t xml:space="preserve"> </w:t>
      </w:r>
      <w:proofErr w:type="spellStart"/>
      <w:r w:rsidRPr="00AF0CED">
        <w:rPr>
          <w:i/>
        </w:rPr>
        <w:t>gratissimum</w:t>
      </w:r>
      <w:proofErr w:type="spellEnd"/>
      <w:r w:rsidRPr="00AF0CED">
        <w:t xml:space="preserve"> revealed a significant decrease (p &lt; 0.05) in triglyceride</w:t>
      </w:r>
      <w:r>
        <w:t xml:space="preserve"> and</w:t>
      </w:r>
      <w:r w:rsidRPr="00AF0CED">
        <w:t xml:space="preserve"> total cholesterol compared to the hyperlipidemic control </w:t>
      </w:r>
      <w:r>
        <w:t>rats</w:t>
      </w:r>
      <w:r w:rsidRPr="00AF0CED">
        <w:t>.</w:t>
      </w:r>
      <w:r>
        <w:t xml:space="preserve"> </w:t>
      </w:r>
      <w:r w:rsidRPr="00AF0CED">
        <w:rPr>
          <w:lang w:val="en-GB"/>
        </w:rPr>
        <w:t>In conclusion, the</w:t>
      </w:r>
      <w:r w:rsidRPr="00AF0CED">
        <w:t xml:space="preserve"> </w:t>
      </w:r>
      <w:bookmarkStart w:id="3" w:name="OLE_LINK3"/>
      <w:r w:rsidRPr="00AF0CED">
        <w:rPr>
          <w:i/>
        </w:rPr>
        <w:t xml:space="preserve">V. subterranea </w:t>
      </w:r>
      <w:bookmarkEnd w:id="3"/>
      <w:r w:rsidRPr="00AF0CED">
        <w:t xml:space="preserve">and </w:t>
      </w:r>
      <w:r w:rsidRPr="00AF0CED">
        <w:rPr>
          <w:i/>
        </w:rPr>
        <w:t xml:space="preserve">O. </w:t>
      </w:r>
      <w:proofErr w:type="spellStart"/>
      <w:r w:rsidRPr="00AF0CED">
        <w:rPr>
          <w:i/>
        </w:rPr>
        <w:t>gratissimum</w:t>
      </w:r>
      <w:proofErr w:type="spellEnd"/>
      <w:r w:rsidRPr="00AF0CED">
        <w:rPr>
          <w:i/>
        </w:rPr>
        <w:t xml:space="preserve"> </w:t>
      </w:r>
      <w:r w:rsidRPr="00AF0CED">
        <w:rPr>
          <w:lang w:val="en-GB"/>
        </w:rPr>
        <w:t xml:space="preserve">extract and fractions </w:t>
      </w:r>
      <w:r>
        <w:rPr>
          <w:lang w:val="en-GB"/>
        </w:rPr>
        <w:t xml:space="preserve">had an </w:t>
      </w:r>
      <w:r w:rsidRPr="00AF0CED">
        <w:rPr>
          <w:lang w:val="en-GB"/>
        </w:rPr>
        <w:t>inhibit</w:t>
      </w:r>
      <w:r>
        <w:rPr>
          <w:lang w:val="en-GB"/>
        </w:rPr>
        <w:t>ory effect on</w:t>
      </w:r>
      <w:r w:rsidRPr="00AF0CED">
        <w:rPr>
          <w:lang w:val="en-GB"/>
        </w:rPr>
        <w:t xml:space="preserve"> pancreatic lipase</w:t>
      </w:r>
      <w:r w:rsidR="004754C4">
        <w:rPr>
          <w:lang w:val="en-GB"/>
        </w:rPr>
        <w:t xml:space="preserve">, while only </w:t>
      </w:r>
      <w:r w:rsidR="004754C4" w:rsidRPr="00AF0CED">
        <w:rPr>
          <w:i/>
        </w:rPr>
        <w:t xml:space="preserve">V. </w:t>
      </w:r>
      <w:proofErr w:type="spellStart"/>
      <w:r w:rsidR="004754C4" w:rsidRPr="00AF0CED">
        <w:rPr>
          <w:i/>
        </w:rPr>
        <w:t>subterranea</w:t>
      </w:r>
      <w:proofErr w:type="spellEnd"/>
      <w:r w:rsidR="004754C4" w:rsidRPr="00AF0CED">
        <w:rPr>
          <w:i/>
        </w:rPr>
        <w:t xml:space="preserve"> </w:t>
      </w:r>
      <w:r w:rsidR="004754C4">
        <w:t>inhibited</w:t>
      </w:r>
      <w:r w:rsidRPr="004754C4">
        <w:rPr>
          <w:lang w:val="en-GB"/>
        </w:rPr>
        <w:t xml:space="preserve"> </w:t>
      </w:r>
      <w:r w:rsidRPr="00AF0CED">
        <w:rPr>
          <w:lang w:val="en-GB"/>
        </w:rPr>
        <w:t>alpha-amylase</w:t>
      </w:r>
      <w:r w:rsidR="004754C4">
        <w:rPr>
          <w:lang w:val="en-GB"/>
        </w:rPr>
        <w:t>,</w:t>
      </w:r>
      <w:r w:rsidRPr="00AF0CED">
        <w:rPr>
          <w:lang w:val="en-GB"/>
        </w:rPr>
        <w:t xml:space="preserve"> and </w:t>
      </w:r>
      <w:r w:rsidR="004754C4">
        <w:rPr>
          <w:lang w:val="en-GB"/>
        </w:rPr>
        <w:t xml:space="preserve">both </w:t>
      </w:r>
      <w:r>
        <w:rPr>
          <w:lang w:val="en-GB"/>
        </w:rPr>
        <w:t xml:space="preserve">improved lipid profile, </w:t>
      </w:r>
      <w:r w:rsidRPr="00AF0CED">
        <w:rPr>
          <w:lang w:val="en-GB"/>
        </w:rPr>
        <w:t xml:space="preserve">thus possessing </w:t>
      </w:r>
      <w:r w:rsidRPr="0068245B">
        <w:rPr>
          <w:lang w:val="en-GB"/>
        </w:rPr>
        <w:t>anti-obesogenic</w:t>
      </w:r>
      <w:r>
        <w:rPr>
          <w:lang w:val="en-GB"/>
        </w:rPr>
        <w:t xml:space="preserve"> and</w:t>
      </w:r>
      <w:r w:rsidRPr="00AF0CED">
        <w:rPr>
          <w:lang w:val="en-GB"/>
        </w:rPr>
        <w:t xml:space="preserve"> </w:t>
      </w:r>
      <w:r>
        <w:rPr>
          <w:lang w:val="en-GB"/>
        </w:rPr>
        <w:t xml:space="preserve">antihyperlipidemic </w:t>
      </w:r>
      <w:r w:rsidRPr="00AF0CED">
        <w:rPr>
          <w:lang w:val="en-GB"/>
        </w:rPr>
        <w:t>properties.</w:t>
      </w:r>
      <w:r>
        <w:rPr>
          <w:lang w:val="en-GB"/>
        </w:rPr>
        <w:t xml:space="preserve"> </w:t>
      </w:r>
    </w:p>
    <w:p w14:paraId="4FEE8DD0" w14:textId="77777777" w:rsidR="002D3C02" w:rsidRPr="00AF0CED" w:rsidRDefault="002D3C02" w:rsidP="002D3C02">
      <w:pPr>
        <w:tabs>
          <w:tab w:val="left" w:pos="2326"/>
        </w:tabs>
        <w:spacing w:line="360" w:lineRule="auto"/>
        <w:jc w:val="both"/>
        <w:rPr>
          <w:lang w:val="en-GB"/>
        </w:rPr>
      </w:pPr>
    </w:p>
    <w:p w14:paraId="0DC3527C" w14:textId="77777777" w:rsidR="002D3C02" w:rsidRDefault="002D3C02" w:rsidP="002D3C02">
      <w:r w:rsidRPr="00AF0CED">
        <w:rPr>
          <w:b/>
          <w:lang w:val="en-GB"/>
        </w:rPr>
        <w:t>Keywords</w:t>
      </w:r>
      <w:r w:rsidRPr="00AF0CED">
        <w:rPr>
          <w:lang w:val="en-GB"/>
        </w:rPr>
        <w:t xml:space="preserve">: </w:t>
      </w:r>
      <w:proofErr w:type="spellStart"/>
      <w:r w:rsidRPr="00AF0CED">
        <w:rPr>
          <w:lang w:val="en-GB"/>
        </w:rPr>
        <w:t>Hyperlipidemia</w:t>
      </w:r>
      <w:proofErr w:type="spellEnd"/>
      <w:r w:rsidRPr="00AF0CED">
        <w:rPr>
          <w:lang w:val="en-GB"/>
        </w:rPr>
        <w:t xml:space="preserve">, alpha-amylase, pancreatic lipase, </w:t>
      </w:r>
      <w:r w:rsidRPr="00AF0CED">
        <w:rPr>
          <w:i/>
          <w:lang w:val="en-GB"/>
        </w:rPr>
        <w:t xml:space="preserve">Vigna </w:t>
      </w:r>
      <w:proofErr w:type="spellStart"/>
      <w:r w:rsidRPr="00AF0CED">
        <w:rPr>
          <w:i/>
          <w:lang w:val="en-GB"/>
        </w:rPr>
        <w:t>subterranea</w:t>
      </w:r>
      <w:proofErr w:type="spellEnd"/>
      <w:r w:rsidRPr="00AF0CED">
        <w:rPr>
          <w:lang w:val="en-GB"/>
        </w:rPr>
        <w:t xml:space="preserve">, </w:t>
      </w:r>
      <w:proofErr w:type="spellStart"/>
      <w:r w:rsidRPr="00AF0CED">
        <w:rPr>
          <w:i/>
          <w:lang w:val="en-GB"/>
        </w:rPr>
        <w:t>Ocimum</w:t>
      </w:r>
      <w:proofErr w:type="spellEnd"/>
      <w:r w:rsidRPr="00AF0CED">
        <w:rPr>
          <w:i/>
          <w:lang w:val="en-GB"/>
        </w:rPr>
        <w:t xml:space="preserve"> </w:t>
      </w:r>
      <w:proofErr w:type="spellStart"/>
      <w:r w:rsidRPr="00AF0CED">
        <w:rPr>
          <w:i/>
          <w:lang w:val="en-GB"/>
        </w:rPr>
        <w:t>gratissimum</w:t>
      </w:r>
      <w:proofErr w:type="spellEnd"/>
    </w:p>
    <w:p w14:paraId="1940246F" w14:textId="77777777" w:rsidR="002D3C02" w:rsidRPr="00AF0CED" w:rsidRDefault="002D3C02" w:rsidP="002D3C02">
      <w:pPr>
        <w:tabs>
          <w:tab w:val="left" w:pos="2326"/>
        </w:tabs>
        <w:spacing w:line="360" w:lineRule="auto"/>
        <w:jc w:val="both"/>
        <w:rPr>
          <w:lang w:val="en-GB"/>
        </w:rPr>
      </w:pPr>
    </w:p>
    <w:p w14:paraId="4CC27171" w14:textId="77777777" w:rsidR="002D3C02" w:rsidRPr="00AF0CED" w:rsidRDefault="002D3C02" w:rsidP="002D3C02">
      <w:pPr>
        <w:tabs>
          <w:tab w:val="left" w:pos="2326"/>
        </w:tabs>
        <w:spacing w:line="360" w:lineRule="auto"/>
        <w:jc w:val="both"/>
        <w:rPr>
          <w:lang w:val="en-GB"/>
        </w:rPr>
      </w:pPr>
    </w:p>
    <w:p w14:paraId="5A86E1F4" w14:textId="77777777" w:rsidR="002D3C02" w:rsidRPr="00AF0CED" w:rsidRDefault="002D3C02" w:rsidP="002D3C02">
      <w:pPr>
        <w:tabs>
          <w:tab w:val="left" w:pos="2326"/>
        </w:tabs>
        <w:spacing w:line="360" w:lineRule="auto"/>
        <w:jc w:val="both"/>
        <w:rPr>
          <w:lang w:val="en-GB"/>
        </w:rPr>
      </w:pPr>
    </w:p>
    <w:p w14:paraId="039728AF" w14:textId="77777777" w:rsidR="002D3C02" w:rsidRPr="00AF0CED" w:rsidRDefault="002D3C02" w:rsidP="002D3C02">
      <w:pPr>
        <w:tabs>
          <w:tab w:val="left" w:pos="2326"/>
        </w:tabs>
        <w:spacing w:line="360" w:lineRule="auto"/>
        <w:jc w:val="both"/>
        <w:rPr>
          <w:lang w:val="en-GB"/>
        </w:rPr>
      </w:pPr>
    </w:p>
    <w:p w14:paraId="59006949" w14:textId="77777777" w:rsidR="002D3C02" w:rsidRPr="00AF0CED" w:rsidRDefault="002D3C02" w:rsidP="002D3C02">
      <w:pPr>
        <w:pStyle w:val="ListParagraph"/>
        <w:numPr>
          <w:ilvl w:val="0"/>
          <w:numId w:val="1"/>
        </w:numPr>
        <w:tabs>
          <w:tab w:val="left" w:pos="2326"/>
        </w:tabs>
        <w:spacing w:line="360" w:lineRule="auto"/>
        <w:jc w:val="both"/>
        <w:rPr>
          <w:b/>
        </w:rPr>
      </w:pPr>
      <w:r w:rsidRPr="00AF0CED">
        <w:rPr>
          <w:b/>
        </w:rPr>
        <w:t>Introduction</w:t>
      </w:r>
    </w:p>
    <w:p w14:paraId="7FD3F9B2" w14:textId="77777777" w:rsidR="002D3C02" w:rsidRPr="002D1F49" w:rsidRDefault="002D3C02" w:rsidP="002D3C02">
      <w:pPr>
        <w:spacing w:line="360" w:lineRule="auto"/>
        <w:jc w:val="both"/>
      </w:pPr>
      <w:r w:rsidRPr="004221E0">
        <w:t>Hyperlipidemia, commonly referred to as a co</w:t>
      </w:r>
      <w:r>
        <w:t>morbid</w:t>
      </w:r>
      <w:r w:rsidRPr="004221E0">
        <w:t xml:space="preserve"> condition of obesity, is </w:t>
      </w:r>
      <w:r>
        <w:t>medically</w:t>
      </w:r>
      <w:r w:rsidRPr="004221E0">
        <w:t xml:space="preserve"> </w:t>
      </w:r>
      <w:r>
        <w:t xml:space="preserve">marked </w:t>
      </w:r>
      <w:r w:rsidRPr="004221E0">
        <w:t xml:space="preserve">by </w:t>
      </w:r>
      <w:r>
        <w:t>high level</w:t>
      </w:r>
      <w:r w:rsidRPr="004221E0">
        <w:t xml:space="preserve"> of </w:t>
      </w:r>
      <w:r>
        <w:t>either one</w:t>
      </w:r>
      <w:r w:rsidRPr="004221E0">
        <w:t xml:space="preserve"> or all lipoproteins</w:t>
      </w:r>
      <w:r>
        <w:t xml:space="preserve"> </w:t>
      </w:r>
      <w:r w:rsidRPr="004221E0">
        <w:t xml:space="preserve">in the blood. Elevations of 240 mg/dL or higher </w:t>
      </w:r>
      <w:r>
        <w:t>signals</w:t>
      </w:r>
      <w:r w:rsidRPr="004221E0">
        <w:t xml:space="preserve"> high total cholesterol. Any </w:t>
      </w:r>
      <w:r>
        <w:t>level</w:t>
      </w:r>
      <w:r w:rsidRPr="004221E0">
        <w:t xml:space="preserve"> below this threshold may result in various cardiovascular diseases (CVDs), including atherosclerosis and coronary heart disease.</w:t>
      </w:r>
      <w:r w:rsidRPr="00AF0CED">
        <w:t xml:space="preserve"> (Australia, 2023). An alarming number of people lose their lives to CVDs each year amounting to 17 million people with the figures projected to increase to 24.8 million people worldwide by the year 2030 (</w:t>
      </w:r>
      <w:proofErr w:type="spellStart"/>
      <w:r w:rsidRPr="00AF0CED">
        <w:t>Estruch</w:t>
      </w:r>
      <w:proofErr w:type="spellEnd"/>
      <w:r w:rsidRPr="00AF0CED">
        <w:t xml:space="preserve"> et al., 2013). World Heart Report (2023) recorded that </w:t>
      </w:r>
      <w:r>
        <w:t xml:space="preserve">20.5 million deaths in 2021 resulted from </w:t>
      </w:r>
      <w:r w:rsidRPr="00AF0CED">
        <w:t xml:space="preserve">CVD. </w:t>
      </w:r>
      <w:r>
        <w:t xml:space="preserve">Centre for Disease Control reported that in 2015–2016, 29 million adult Americans which amounts to 12.4% of the population, had high total cholesterol. Serum HDL -C levels of less than 40 mg/dL are regarded as low, but levels of LDL over 100 mg/dl are regarded harmful </w:t>
      </w:r>
      <w:r w:rsidRPr="00AF0CED">
        <w:t xml:space="preserve">(CDC, 2011; Su et al; 2021). </w:t>
      </w:r>
      <w:r w:rsidRPr="00AF0CED">
        <w:rPr>
          <w:shd w:val="clear" w:color="auto" w:fill="FFFFFF"/>
        </w:rPr>
        <w:t xml:space="preserve">Pharmacological therapy for hyperlipidemia involves the use of a class of drugs known as </w:t>
      </w:r>
      <w:r w:rsidRPr="00AF0CED">
        <w:rPr>
          <w:shd w:val="clear" w:color="auto" w:fill="FFFFFF"/>
        </w:rPr>
        <w:lastRenderedPageBreak/>
        <w:t>statins such as rosuvastatin, lovastatin, and simvastatin amongst others (</w:t>
      </w:r>
      <w:proofErr w:type="spellStart"/>
      <w:r w:rsidRPr="00AF0CED">
        <w:rPr>
          <w:shd w:val="clear" w:color="auto" w:fill="FFFFFF"/>
        </w:rPr>
        <w:t>Belichard</w:t>
      </w:r>
      <w:proofErr w:type="spellEnd"/>
      <w:r w:rsidRPr="00AF0CED">
        <w:rPr>
          <w:shd w:val="clear" w:color="auto" w:fill="FFFFFF"/>
        </w:rPr>
        <w:t xml:space="preserve"> et al., 1993, Su et al., 2021).</w:t>
      </w:r>
    </w:p>
    <w:p w14:paraId="021F1C40" w14:textId="7A6CB0BE" w:rsidR="002D3C02" w:rsidRPr="003C724E" w:rsidRDefault="002D3C02" w:rsidP="002D3C02">
      <w:pPr>
        <w:spacing w:line="360" w:lineRule="auto"/>
        <w:jc w:val="both"/>
      </w:pPr>
      <w:r>
        <w:t>Obesity is a medical condition in which excess body fat accumulates to a point where it could be harmful to wellbeing (WHO, 2015). An individual is categorized obese when body mass index (BMI) exceeds 30 kg/m</w:t>
      </w:r>
      <w:r w:rsidRPr="003C724E">
        <w:rPr>
          <w:vertAlign w:val="superscript"/>
        </w:rPr>
        <w:t>2</w:t>
      </w:r>
      <w:r>
        <w:t xml:space="preserve"> while a BMI between 25-30kg/m</w:t>
      </w:r>
      <w:r>
        <w:rPr>
          <w:vertAlign w:val="superscript"/>
        </w:rPr>
        <w:t>2</w:t>
      </w:r>
      <w:r>
        <w:t xml:space="preserve"> is typically considered overweight </w:t>
      </w:r>
      <w:r w:rsidRPr="00AF0CED">
        <w:rPr>
          <w:shd w:val="clear" w:color="auto" w:fill="FFFFFF"/>
        </w:rPr>
        <w:t>(WHO, 2015).</w:t>
      </w:r>
      <w:r w:rsidRPr="00AF0CED">
        <w:t xml:space="preserve"> </w:t>
      </w:r>
      <w:r w:rsidRPr="00AF0CED">
        <w:rPr>
          <w:shd w:val="clear" w:color="auto" w:fill="FFFFFF"/>
        </w:rPr>
        <w:t>There are over 2 billion obese people in the world as of 2020 and this figure is projected to increase as the prevalence of obesity is projected to go from 14% to 24% by 2035 (World Obesity Atlas, 2023).</w:t>
      </w:r>
    </w:p>
    <w:p w14:paraId="7E8B7D04" w14:textId="77777777" w:rsidR="002D3C02" w:rsidRPr="002D1F49" w:rsidRDefault="002D3C02" w:rsidP="002D3C02">
      <w:pPr>
        <w:spacing w:line="360" w:lineRule="auto"/>
        <w:jc w:val="both"/>
      </w:pPr>
      <w:r>
        <w:t xml:space="preserve">Conventional medicine prescribes weight loss medications that have several negative side effects and severe responses. Surgery is frequently associated with surgical complications like infection, post-operative anastomotic fistula, thrombosis, anemia and malnutrition. Moreover, surgery is typically used to treat patients who are morbidly obese (BMI ≥ 40 kg/m2) or who have comorbidities like diabetes, hypertension and obstructive sleep apnea </w:t>
      </w:r>
      <w:r w:rsidRPr="00AF0CED">
        <w:rPr>
          <w:shd w:val="clear" w:color="auto" w:fill="FFFFFF"/>
        </w:rPr>
        <w:t>(</w:t>
      </w:r>
      <w:r w:rsidRPr="00AF0CED">
        <w:t>Hawkins and Maheswaran, 2019</w:t>
      </w:r>
      <w:r w:rsidRPr="00AF0CED">
        <w:rPr>
          <w:shd w:val="clear" w:color="auto" w:fill="FFFFFF"/>
        </w:rPr>
        <w:t xml:space="preserve">). Given the shortcomings of Western medicine, surgery, and the dangers of obesity, researchers are on the lookout for alternative treatment options </w:t>
      </w:r>
      <w:r>
        <w:t xml:space="preserve">which involve the use of plant species that are vital for generating chemical compounds and extracts that can be used as a raw material for developing treatment options for obesity and hyperlipidemia </w:t>
      </w:r>
      <w:r w:rsidRPr="00AF0CED">
        <w:rPr>
          <w:shd w:val="clear" w:color="auto" w:fill="FFFFFF"/>
        </w:rPr>
        <w:t xml:space="preserve">(Moro and Basile, 2000, Sun et al., 2018).  </w:t>
      </w:r>
    </w:p>
    <w:p w14:paraId="48480462" w14:textId="77777777" w:rsidR="002D3C02" w:rsidRPr="00AF0CED" w:rsidRDefault="002D3C02" w:rsidP="002D3C02">
      <w:pPr>
        <w:spacing w:after="200" w:line="360" w:lineRule="auto"/>
        <w:jc w:val="both"/>
        <w:rPr>
          <w:rFonts w:eastAsia="SimSun"/>
          <w:i/>
          <w:lang w:eastAsia="zh-CN"/>
        </w:rPr>
      </w:pPr>
      <w:r w:rsidRPr="00AF0CED">
        <w:rPr>
          <w:rFonts w:eastAsia="SimSun"/>
          <w:lang w:eastAsia="zh-CN"/>
        </w:rPr>
        <w:t xml:space="preserve">This study analyzed the crude extracts and fractions from selected plants of medicinal importance for their anti-obesity and antihyperlipidemic potency. These plants include </w:t>
      </w:r>
      <w:proofErr w:type="spellStart"/>
      <w:r w:rsidRPr="00AF0CED">
        <w:rPr>
          <w:i/>
        </w:rPr>
        <w:t>Ocimum</w:t>
      </w:r>
      <w:proofErr w:type="spellEnd"/>
      <w:r w:rsidRPr="00AF0CED">
        <w:rPr>
          <w:i/>
        </w:rPr>
        <w:t xml:space="preserve"> </w:t>
      </w:r>
      <w:proofErr w:type="spellStart"/>
      <w:r w:rsidRPr="00AF0CED">
        <w:rPr>
          <w:i/>
        </w:rPr>
        <w:t>gratissimum</w:t>
      </w:r>
      <w:proofErr w:type="spellEnd"/>
      <w:r w:rsidRPr="00AF0CED">
        <w:rPr>
          <w:i/>
        </w:rPr>
        <w:t xml:space="preserve"> (scent leaf), </w:t>
      </w:r>
      <w:proofErr w:type="spellStart"/>
      <w:r w:rsidRPr="00AF0CED">
        <w:rPr>
          <w:i/>
          <w:shd w:val="clear" w:color="auto" w:fill="FFFFFF"/>
        </w:rPr>
        <w:t>Adansonia</w:t>
      </w:r>
      <w:proofErr w:type="spellEnd"/>
      <w:r w:rsidRPr="00AF0CED">
        <w:rPr>
          <w:i/>
          <w:shd w:val="clear" w:color="auto" w:fill="FFFFFF"/>
        </w:rPr>
        <w:t xml:space="preserve"> digitata (Baobab), Luffa aegyptiaca</w:t>
      </w:r>
      <w:r w:rsidRPr="00AF0CED">
        <w:rPr>
          <w:b/>
          <w:shd w:val="clear" w:color="auto" w:fill="FFFFFF"/>
        </w:rPr>
        <w:t xml:space="preserve"> </w:t>
      </w:r>
      <w:r w:rsidRPr="00AF0CED">
        <w:t xml:space="preserve">commonly called sponge gourd, </w:t>
      </w:r>
      <w:r w:rsidRPr="00AF0CED">
        <w:rPr>
          <w:i/>
        </w:rPr>
        <w:t xml:space="preserve">Brassica </w:t>
      </w:r>
      <w:proofErr w:type="spellStart"/>
      <w:r w:rsidRPr="00AF0CED">
        <w:rPr>
          <w:i/>
        </w:rPr>
        <w:t>oleracae</w:t>
      </w:r>
      <w:proofErr w:type="spellEnd"/>
      <w:r w:rsidRPr="00AF0CED">
        <w:rPr>
          <w:i/>
        </w:rPr>
        <w:t xml:space="preserve"> (Broccoli), </w:t>
      </w:r>
      <w:r w:rsidRPr="00AF0CED">
        <w:rPr>
          <w:rFonts w:eastAsia="SimSun"/>
          <w:i/>
          <w:lang w:eastAsia="zh-CN"/>
        </w:rPr>
        <w:t>Beta vulgaris</w:t>
      </w:r>
      <w:r w:rsidRPr="00AF0CED">
        <w:rPr>
          <w:rFonts w:eastAsia="SimSun"/>
          <w:lang w:eastAsia="zh-CN"/>
        </w:rPr>
        <w:t xml:space="preserve">, (beetroot), </w:t>
      </w:r>
      <w:proofErr w:type="spellStart"/>
      <w:r w:rsidRPr="00AF0CED">
        <w:rPr>
          <w:rFonts w:eastAsia="SimSun"/>
          <w:i/>
          <w:lang w:eastAsia="zh-CN"/>
        </w:rPr>
        <w:t>Cynodon</w:t>
      </w:r>
      <w:proofErr w:type="spellEnd"/>
      <w:r w:rsidRPr="00AF0CED">
        <w:rPr>
          <w:rFonts w:eastAsia="SimSun"/>
          <w:i/>
          <w:lang w:eastAsia="zh-CN"/>
        </w:rPr>
        <w:t xml:space="preserve"> </w:t>
      </w:r>
      <w:proofErr w:type="spellStart"/>
      <w:r w:rsidRPr="00AF0CED">
        <w:rPr>
          <w:rFonts w:eastAsia="SimSun"/>
          <w:i/>
          <w:lang w:eastAsia="zh-CN"/>
        </w:rPr>
        <w:t>dactylon</w:t>
      </w:r>
      <w:proofErr w:type="spellEnd"/>
      <w:r w:rsidRPr="00AF0CED">
        <w:rPr>
          <w:rFonts w:eastAsia="SimSun"/>
          <w:lang w:eastAsia="zh-CN"/>
        </w:rPr>
        <w:t xml:space="preserve"> (Bahama grass), </w:t>
      </w:r>
      <w:proofErr w:type="spellStart"/>
      <w:r w:rsidRPr="00AF0CED">
        <w:rPr>
          <w:i/>
        </w:rPr>
        <w:t>Dennetia</w:t>
      </w:r>
      <w:proofErr w:type="spellEnd"/>
      <w:r w:rsidRPr="00AF0CED">
        <w:rPr>
          <w:i/>
        </w:rPr>
        <w:t xml:space="preserve"> </w:t>
      </w:r>
      <w:proofErr w:type="spellStart"/>
      <w:r w:rsidRPr="00AF0CED">
        <w:rPr>
          <w:i/>
        </w:rPr>
        <w:t>tripetala</w:t>
      </w:r>
      <w:proofErr w:type="spellEnd"/>
      <w:r w:rsidRPr="00AF0CED">
        <w:t xml:space="preserve"> (pepper fruit), and </w:t>
      </w:r>
      <w:r w:rsidRPr="00AF0CED">
        <w:rPr>
          <w:i/>
        </w:rPr>
        <w:t xml:space="preserve">Vigna </w:t>
      </w:r>
      <w:proofErr w:type="spellStart"/>
      <w:r w:rsidRPr="00AF0CED">
        <w:rPr>
          <w:i/>
        </w:rPr>
        <w:t>subterranea</w:t>
      </w:r>
      <w:proofErr w:type="spellEnd"/>
      <w:r w:rsidRPr="00AF0CED">
        <w:t xml:space="preserve"> (</w:t>
      </w:r>
      <w:proofErr w:type="spellStart"/>
      <w:r w:rsidRPr="00AF0CED">
        <w:t>bambara</w:t>
      </w:r>
      <w:proofErr w:type="spellEnd"/>
      <w:r w:rsidRPr="00AF0CED">
        <w:t xml:space="preserve"> groundnut). These plants have been reported to contain a lot of bioactive components which are associated with diverse benefits to health and wellness including obesity and </w:t>
      </w:r>
      <w:r>
        <w:t xml:space="preserve">are </w:t>
      </w:r>
      <w:r w:rsidRPr="00AF0CED">
        <w:t>reported</w:t>
      </w:r>
      <w:r>
        <w:t>ly</w:t>
      </w:r>
      <w:r w:rsidRPr="00AF0CED">
        <w:t xml:space="preserve"> safe for consumption </w:t>
      </w:r>
      <w:r w:rsidRPr="00AF0CED">
        <w:rPr>
          <w:shd w:val="clear" w:color="auto" w:fill="FFFFFF"/>
        </w:rPr>
        <w:t>(</w:t>
      </w:r>
      <w:proofErr w:type="spellStart"/>
      <w:r w:rsidRPr="00AF0CED">
        <w:rPr>
          <w:shd w:val="clear" w:color="auto" w:fill="FFFFFF"/>
        </w:rPr>
        <w:t>Samec</w:t>
      </w:r>
      <w:proofErr w:type="spellEnd"/>
      <w:r w:rsidRPr="00AF0CED">
        <w:rPr>
          <w:shd w:val="clear" w:color="auto" w:fill="FFFFFF"/>
        </w:rPr>
        <w:t xml:space="preserve">, 2011; </w:t>
      </w:r>
      <w:proofErr w:type="spellStart"/>
      <w:r w:rsidRPr="00AF0CED">
        <w:t>Ramchoun</w:t>
      </w:r>
      <w:proofErr w:type="spellEnd"/>
      <w:r w:rsidRPr="00AF0CED">
        <w:t xml:space="preserve"> </w:t>
      </w:r>
      <w:r w:rsidRPr="00AF0CED">
        <w:rPr>
          <w:i/>
        </w:rPr>
        <w:t>et al.</w:t>
      </w:r>
      <w:r w:rsidRPr="00AF0CED">
        <w:t xml:space="preserve">, 2009; </w:t>
      </w:r>
      <w:r w:rsidRPr="00AF0CED">
        <w:rPr>
          <w:shd w:val="clear" w:color="auto" w:fill="FFFFFF"/>
        </w:rPr>
        <w:t xml:space="preserve">Li </w:t>
      </w:r>
      <w:r w:rsidRPr="00AF0CED">
        <w:rPr>
          <w:i/>
          <w:shd w:val="clear" w:color="auto" w:fill="FFFFFF"/>
        </w:rPr>
        <w:t>et al.,</w:t>
      </w:r>
      <w:r w:rsidRPr="00AF0CED">
        <w:rPr>
          <w:shd w:val="clear" w:color="auto" w:fill="FFFFFF"/>
        </w:rPr>
        <w:t xml:space="preserve"> 2017; </w:t>
      </w:r>
      <w:proofErr w:type="spellStart"/>
      <w:r w:rsidRPr="00AF0CED">
        <w:t>Irondi</w:t>
      </w:r>
      <w:proofErr w:type="spellEnd"/>
      <w:r w:rsidRPr="00AF0CED">
        <w:t xml:space="preserve"> </w:t>
      </w:r>
      <w:r w:rsidRPr="00AF0CED">
        <w:rPr>
          <w:i/>
        </w:rPr>
        <w:t>et al.</w:t>
      </w:r>
      <w:r w:rsidRPr="00AF0CED">
        <w:t xml:space="preserve">, 2017; </w:t>
      </w:r>
      <w:proofErr w:type="spellStart"/>
      <w:r w:rsidRPr="00AF0CED">
        <w:t>Sokeng</w:t>
      </w:r>
      <w:proofErr w:type="spellEnd"/>
      <w:r w:rsidRPr="00AF0CED">
        <w:t xml:space="preserve"> </w:t>
      </w:r>
      <w:r w:rsidRPr="00AF0CED">
        <w:rPr>
          <w:i/>
        </w:rPr>
        <w:t>et al.</w:t>
      </w:r>
      <w:r w:rsidRPr="00AF0CED">
        <w:t xml:space="preserve">, 2019; </w:t>
      </w:r>
      <w:proofErr w:type="spellStart"/>
      <w:r w:rsidRPr="00AF0CED">
        <w:rPr>
          <w:shd w:val="clear" w:color="auto" w:fill="FFFFFF"/>
        </w:rPr>
        <w:t>Egbong</w:t>
      </w:r>
      <w:proofErr w:type="spellEnd"/>
      <w:r w:rsidRPr="00AF0CED">
        <w:rPr>
          <w:shd w:val="clear" w:color="auto" w:fill="FFFFFF"/>
        </w:rPr>
        <w:t xml:space="preserve"> </w:t>
      </w:r>
      <w:r w:rsidRPr="00AF0CED">
        <w:rPr>
          <w:i/>
          <w:shd w:val="clear" w:color="auto" w:fill="FFFFFF"/>
        </w:rPr>
        <w:t>et al.</w:t>
      </w:r>
      <w:r w:rsidRPr="00AF0CED">
        <w:rPr>
          <w:shd w:val="clear" w:color="auto" w:fill="FFFFFF"/>
        </w:rPr>
        <w:t xml:space="preserve">, 2011 ; </w:t>
      </w:r>
      <w:r w:rsidRPr="00AF0CED">
        <w:t xml:space="preserve">Mohammed </w:t>
      </w:r>
      <w:r w:rsidRPr="00AF0CED">
        <w:rPr>
          <w:i/>
        </w:rPr>
        <w:t>et al.</w:t>
      </w:r>
      <w:r w:rsidRPr="00AF0CED">
        <w:t xml:space="preserve">, 2007; Ogbonna </w:t>
      </w:r>
      <w:r w:rsidRPr="00AF0CED">
        <w:rPr>
          <w:i/>
        </w:rPr>
        <w:t>et al.,</w:t>
      </w:r>
      <w:r w:rsidRPr="00AF0CED">
        <w:t xml:space="preserve"> 2013; Yao </w:t>
      </w:r>
      <w:r w:rsidRPr="00AF0CED">
        <w:rPr>
          <w:i/>
        </w:rPr>
        <w:t>et al</w:t>
      </w:r>
      <w:r w:rsidRPr="00AF0CED">
        <w:t xml:space="preserve">., 2015; Gilchrist, 2014; </w:t>
      </w:r>
      <w:proofErr w:type="spellStart"/>
      <w:r w:rsidRPr="00AF0CED">
        <w:t>Ninfali</w:t>
      </w:r>
      <w:proofErr w:type="spellEnd"/>
      <w:r w:rsidRPr="00AF0CED">
        <w:t xml:space="preserve"> and Angelino, 2013; Jegede</w:t>
      </w:r>
      <w:r w:rsidRPr="00AF0CED">
        <w:rPr>
          <w:i/>
          <w:iCs/>
        </w:rPr>
        <w:t xml:space="preserve"> et al.,</w:t>
      </w:r>
      <w:r w:rsidRPr="00AF0CED">
        <w:t xml:space="preserve">2011; Anyanwu </w:t>
      </w:r>
      <w:r w:rsidRPr="00AF0CED">
        <w:rPr>
          <w:i/>
          <w:iCs/>
        </w:rPr>
        <w:t xml:space="preserve">et al., </w:t>
      </w:r>
      <w:r w:rsidRPr="00AF0CED">
        <w:t>2013).</w:t>
      </w:r>
    </w:p>
    <w:p w14:paraId="0DDCECCF" w14:textId="51C4F0A9" w:rsidR="002D3C02" w:rsidRDefault="002D3C02" w:rsidP="002D3C02">
      <w:pPr>
        <w:pStyle w:val="NormalWeb"/>
        <w:shd w:val="clear" w:color="auto" w:fill="FFFFFF"/>
        <w:spacing w:before="166" w:beforeAutospacing="0" w:after="166" w:afterAutospacing="0" w:line="360" w:lineRule="auto"/>
        <w:jc w:val="both"/>
        <w:rPr>
          <w:shd w:val="clear" w:color="auto" w:fill="FFFFFF"/>
        </w:rPr>
      </w:pPr>
    </w:p>
    <w:p w14:paraId="0B516A0D" w14:textId="77777777" w:rsidR="00A16451" w:rsidRPr="00AF0CED" w:rsidRDefault="00A16451" w:rsidP="002D3C02">
      <w:pPr>
        <w:pStyle w:val="NormalWeb"/>
        <w:shd w:val="clear" w:color="auto" w:fill="FFFFFF"/>
        <w:spacing w:before="166" w:beforeAutospacing="0" w:after="166" w:afterAutospacing="0" w:line="360" w:lineRule="auto"/>
        <w:jc w:val="both"/>
        <w:rPr>
          <w:shd w:val="clear" w:color="auto" w:fill="FFFFFF"/>
        </w:rPr>
      </w:pPr>
    </w:p>
    <w:p w14:paraId="6F75866E" w14:textId="77777777" w:rsidR="002D3C02" w:rsidRPr="00AF0CED" w:rsidRDefault="002D3C02" w:rsidP="002D3C02">
      <w:pPr>
        <w:pStyle w:val="ListParagraph"/>
        <w:numPr>
          <w:ilvl w:val="0"/>
          <w:numId w:val="1"/>
        </w:numPr>
        <w:tabs>
          <w:tab w:val="left" w:pos="2326"/>
        </w:tabs>
        <w:spacing w:after="240" w:line="360" w:lineRule="auto"/>
        <w:jc w:val="both"/>
        <w:rPr>
          <w:b/>
        </w:rPr>
      </w:pPr>
      <w:r w:rsidRPr="00AF0CED">
        <w:rPr>
          <w:b/>
        </w:rPr>
        <w:lastRenderedPageBreak/>
        <w:t>Materials and Methods</w:t>
      </w:r>
    </w:p>
    <w:p w14:paraId="0AB323DF" w14:textId="77777777" w:rsidR="002D3C02" w:rsidRPr="00AF0CED" w:rsidRDefault="002D3C02" w:rsidP="002D3C02">
      <w:pPr>
        <w:tabs>
          <w:tab w:val="left" w:pos="2326"/>
        </w:tabs>
        <w:spacing w:after="240" w:line="360" w:lineRule="auto"/>
        <w:jc w:val="both"/>
      </w:pPr>
      <w:r w:rsidRPr="00AF0CED">
        <w:t xml:space="preserve">    2.1. Plant material</w:t>
      </w:r>
    </w:p>
    <w:p w14:paraId="1573E9DF" w14:textId="77777777" w:rsidR="002D3C02" w:rsidRPr="00AF0CED" w:rsidRDefault="002D3C02" w:rsidP="002D3C02">
      <w:pPr>
        <w:spacing w:line="360" w:lineRule="auto"/>
        <w:jc w:val="both"/>
      </w:pPr>
      <w:r>
        <w:t xml:space="preserve">Fresh fruits, leaves, and tubers of the chosen plants were purchased from </w:t>
      </w:r>
      <w:proofErr w:type="spellStart"/>
      <w:r>
        <w:t>Mararaba</w:t>
      </w:r>
      <w:proofErr w:type="spellEnd"/>
      <w:r>
        <w:t xml:space="preserve"> market in the Karu, Nasarawa state, Nigeria. The plants were identified and verified by Prof. J. O. </w:t>
      </w:r>
      <w:proofErr w:type="spellStart"/>
      <w:r>
        <w:t>Ihuma</w:t>
      </w:r>
      <w:proofErr w:type="spellEnd"/>
      <w:r>
        <w:t xml:space="preserve"> of the Department of Biological Sciences at Bingham University in Nigeria, after which a voucher number was assigned to the plants.</w:t>
      </w:r>
    </w:p>
    <w:p w14:paraId="1ADFCAE8" w14:textId="77777777" w:rsidR="002D3C02" w:rsidRPr="00AF0CED" w:rsidRDefault="002D3C02" w:rsidP="002D3C02">
      <w:pPr>
        <w:spacing w:before="240" w:line="360" w:lineRule="auto"/>
        <w:jc w:val="both"/>
      </w:pPr>
      <w:r w:rsidRPr="00AF0CED">
        <w:t xml:space="preserve">    2.2 </w:t>
      </w:r>
      <w:r>
        <w:t xml:space="preserve">Preparation of </w:t>
      </w:r>
      <w:r w:rsidRPr="00AF0CED">
        <w:t xml:space="preserve">Crude </w:t>
      </w:r>
      <w:r>
        <w:t>E</w:t>
      </w:r>
      <w:r w:rsidRPr="00AF0CED">
        <w:t>xtract</w:t>
      </w:r>
      <w:r>
        <w:t xml:space="preserve"> and Fraction</w:t>
      </w:r>
    </w:p>
    <w:p w14:paraId="1677F748" w14:textId="77777777" w:rsidR="002D3C02" w:rsidRPr="00AF0CED" w:rsidRDefault="002D3C02" w:rsidP="002D3C02">
      <w:pPr>
        <w:spacing w:before="240" w:line="360" w:lineRule="auto"/>
        <w:jc w:val="both"/>
      </w:pPr>
      <w:r>
        <w:t xml:space="preserve">Fresh portions of the plants, fruits, leaves, and tubers were chopped into tiny pieces, allowed to dry at room temperature, and was roughly grounded. Maceration of the plant powder in ethanol lasted three days at room temperature. After which filtration was done with a Whatman No. 1 filter paper. The filtrates were concentrated to slurry at various temperatures with the aid of a rotary evaporator. The procedure for fractionation outlined by </w:t>
      </w:r>
      <w:proofErr w:type="spellStart"/>
      <w:r>
        <w:t>Hostettmann</w:t>
      </w:r>
      <w:proofErr w:type="spellEnd"/>
      <w:r>
        <w:t xml:space="preserve"> et al. (1991) involved floating each extract in 250 mL of water separately and using a separating funnel to partition the extracts with several organic solvents in increasing order of polarity. Plant extracts and fractions were dehydrated using solvent evaporation. </w:t>
      </w:r>
    </w:p>
    <w:p w14:paraId="13564632" w14:textId="77777777" w:rsidR="002D3C02" w:rsidRPr="00AF0CED" w:rsidRDefault="002D3C02" w:rsidP="002D3C02">
      <w:pPr>
        <w:spacing w:before="240" w:line="360" w:lineRule="auto"/>
        <w:jc w:val="both"/>
        <w:rPr>
          <w:lang w:val="en-GB"/>
        </w:rPr>
      </w:pPr>
      <w:r w:rsidRPr="00AF0CED">
        <w:rPr>
          <w:lang w:val="en-GB"/>
        </w:rPr>
        <w:t xml:space="preserve">2.3 </w:t>
      </w:r>
      <w:r w:rsidRPr="00E21133">
        <w:rPr>
          <w:i/>
          <w:lang w:val="en-GB"/>
        </w:rPr>
        <w:t>In</w:t>
      </w:r>
      <w:r w:rsidRPr="00AF0CED">
        <w:rPr>
          <w:lang w:val="en-GB"/>
        </w:rPr>
        <w:t xml:space="preserve"> </w:t>
      </w:r>
      <w:r w:rsidRPr="00E21133">
        <w:rPr>
          <w:i/>
          <w:lang w:val="en-GB"/>
        </w:rPr>
        <w:t xml:space="preserve">vitro </w:t>
      </w:r>
      <w:r>
        <w:rPr>
          <w:lang w:val="en-GB"/>
        </w:rPr>
        <w:t xml:space="preserve">inhibitory activity of </w:t>
      </w:r>
      <w:r w:rsidRPr="00AF0CED">
        <w:rPr>
          <w:lang w:val="en-GB"/>
        </w:rPr>
        <w:t xml:space="preserve">pancreatic lipase and alpha-amylase </w:t>
      </w:r>
    </w:p>
    <w:p w14:paraId="6FCFB91D" w14:textId="77777777" w:rsidR="002D3C02" w:rsidRPr="00AF0CED" w:rsidRDefault="002D3C02" w:rsidP="002D3C02">
      <w:pPr>
        <w:spacing w:before="240" w:line="360" w:lineRule="auto"/>
        <w:jc w:val="both"/>
      </w:pPr>
      <w:r>
        <w:t>The plant extracts and fraction’s</w:t>
      </w:r>
      <w:r w:rsidRPr="00AF0CED">
        <w:t xml:space="preserve"> inhibitory </w:t>
      </w:r>
      <w:r>
        <w:t xml:space="preserve">activity of </w:t>
      </w:r>
      <w:r w:rsidRPr="00AF0CED">
        <w:t xml:space="preserve">pancreatic lipase </w:t>
      </w:r>
      <w:r>
        <w:t xml:space="preserve">was measured </w:t>
      </w:r>
      <w:r w:rsidRPr="00AF0CED">
        <w:t xml:space="preserve">using the method described by Kim </w:t>
      </w:r>
      <w:r w:rsidRPr="00AF0CED">
        <w:rPr>
          <w:i/>
        </w:rPr>
        <w:t>et al.</w:t>
      </w:r>
      <w:r w:rsidRPr="00AF0CED">
        <w:t xml:space="preserve"> (2009) and </w:t>
      </w:r>
      <w:r>
        <w:t xml:space="preserve">that of </w:t>
      </w:r>
      <w:r w:rsidRPr="00AF0CED">
        <w:t>alpha-amylase w</w:t>
      </w:r>
      <w:r>
        <w:t>as</w:t>
      </w:r>
      <w:r w:rsidRPr="00AF0CED">
        <w:t xml:space="preserve"> measured using the method described by </w:t>
      </w:r>
      <w:r>
        <w:t>Xiao</w:t>
      </w:r>
      <w:r w:rsidRPr="00AF0CED">
        <w:t xml:space="preserve"> </w:t>
      </w:r>
      <w:r w:rsidRPr="00AF0CED">
        <w:rPr>
          <w:i/>
        </w:rPr>
        <w:t>et al.</w:t>
      </w:r>
      <w:r w:rsidRPr="00AF0CED">
        <w:t xml:space="preserve"> (200</w:t>
      </w:r>
      <w:r>
        <w:t>6</w:t>
      </w:r>
      <w:r w:rsidRPr="00AF0CED">
        <w:t>) with slight modifications.</w:t>
      </w:r>
    </w:p>
    <w:p w14:paraId="0EFD7C48" w14:textId="77777777" w:rsidR="002D3C02" w:rsidRPr="00AF0CED" w:rsidRDefault="002D3C02" w:rsidP="002D3C02">
      <w:pPr>
        <w:spacing w:line="360" w:lineRule="auto"/>
        <w:jc w:val="both"/>
        <w:rPr>
          <w:lang w:val="en-GB"/>
        </w:rPr>
      </w:pPr>
    </w:p>
    <w:p w14:paraId="2D959B9E" w14:textId="77777777" w:rsidR="002D3C02" w:rsidRPr="00AF0CED" w:rsidRDefault="002D3C02" w:rsidP="002D3C02">
      <w:pPr>
        <w:spacing w:after="240" w:line="360" w:lineRule="auto"/>
        <w:jc w:val="both"/>
        <w:rPr>
          <w:lang w:val="en-GB"/>
        </w:rPr>
      </w:pPr>
      <w:r w:rsidRPr="00AF0CED">
        <w:rPr>
          <w:lang w:val="en-GB"/>
        </w:rPr>
        <w:t xml:space="preserve">2.4. Acute toxicity of </w:t>
      </w:r>
      <w:r>
        <w:rPr>
          <w:lang w:val="en-GB"/>
        </w:rPr>
        <w:t xml:space="preserve">plant </w:t>
      </w:r>
      <w:r w:rsidRPr="00AF0CED">
        <w:rPr>
          <w:lang w:val="en-GB"/>
        </w:rPr>
        <w:t>fraction</w:t>
      </w:r>
    </w:p>
    <w:p w14:paraId="5F7FBE7C" w14:textId="77777777" w:rsidR="002D3C02" w:rsidRPr="00AF0CED" w:rsidRDefault="002D3C02" w:rsidP="002D3C02">
      <w:pPr>
        <w:spacing w:line="360" w:lineRule="auto"/>
        <w:jc w:val="both"/>
        <w:rPr>
          <w:lang w:val="en-GB"/>
        </w:rPr>
      </w:pPr>
      <w:r w:rsidRPr="00AF0CED">
        <w:rPr>
          <w:lang w:val="en-GB"/>
        </w:rPr>
        <w:t>A method described by OCDE (2002) was used to determine the toxicity</w:t>
      </w:r>
      <w:r>
        <w:rPr>
          <w:lang w:val="en-GB"/>
        </w:rPr>
        <w:t xml:space="preserve"> level</w:t>
      </w:r>
      <w:r w:rsidRPr="00AF0CED">
        <w:rPr>
          <w:lang w:val="en-GB"/>
        </w:rPr>
        <w:t xml:space="preserve"> of plant fractions.</w:t>
      </w:r>
    </w:p>
    <w:p w14:paraId="42BB7CD4" w14:textId="77777777" w:rsidR="002D3C02" w:rsidRPr="00AF0CED" w:rsidRDefault="002D3C02" w:rsidP="002D3C02">
      <w:pPr>
        <w:spacing w:line="360" w:lineRule="auto"/>
        <w:jc w:val="both"/>
        <w:rPr>
          <w:lang w:val="en-GB"/>
        </w:rPr>
      </w:pPr>
    </w:p>
    <w:p w14:paraId="2DB0AC6E" w14:textId="77777777" w:rsidR="002D3C02" w:rsidRPr="00AF0CED" w:rsidRDefault="002D3C02" w:rsidP="002D3C02">
      <w:pPr>
        <w:spacing w:after="240" w:line="360" w:lineRule="auto"/>
        <w:jc w:val="both"/>
        <w:rPr>
          <w:lang w:val="en-GB"/>
        </w:rPr>
      </w:pPr>
      <w:r w:rsidRPr="00AF0CED">
        <w:rPr>
          <w:lang w:val="en-GB"/>
        </w:rPr>
        <w:t>2.5. Experimental Animals</w:t>
      </w:r>
    </w:p>
    <w:p w14:paraId="6DD3C283" w14:textId="77777777" w:rsidR="002D3C02" w:rsidRDefault="002D3C02" w:rsidP="002D3C02">
      <w:pPr>
        <w:spacing w:line="360" w:lineRule="auto"/>
        <w:jc w:val="both"/>
      </w:pPr>
      <w:r>
        <w:t xml:space="preserve">Thirty-five (35) Wistar rats were purchased from the National Veterinary Research Institute Jos, Plateau state, Nigeria and were kept at the Animal House, Bingham University, Karu, Nigeria, in various cages in groups of five. The rats were acclimatized for two weeks at room temperature </w:t>
      </w:r>
      <w:r>
        <w:lastRenderedPageBreak/>
        <w:t>under a 12:12 h light/dark cycle with adequate food and water supply. Prior to the investigation, ethical approval was obtained from Bingham University Ethical Research Committee Karu, Nasarawa State, Nigeria.</w:t>
      </w:r>
    </w:p>
    <w:p w14:paraId="6FDA1186" w14:textId="77777777" w:rsidR="002D3C02" w:rsidRPr="00AF0CED" w:rsidRDefault="002D3C02" w:rsidP="002D3C02">
      <w:pPr>
        <w:spacing w:before="240" w:after="240" w:line="360" w:lineRule="auto"/>
        <w:jc w:val="both"/>
        <w:rPr>
          <w:bCs/>
        </w:rPr>
      </w:pPr>
      <w:r w:rsidRPr="00AF0CED">
        <w:rPr>
          <w:bCs/>
        </w:rPr>
        <w:t xml:space="preserve">2.6 </w:t>
      </w:r>
      <w:r>
        <w:rPr>
          <w:bCs/>
        </w:rPr>
        <w:t>H</w:t>
      </w:r>
      <w:r w:rsidRPr="00AF0CED">
        <w:rPr>
          <w:bCs/>
        </w:rPr>
        <w:t xml:space="preserve">yperlipidemia </w:t>
      </w:r>
      <w:r>
        <w:rPr>
          <w:bCs/>
        </w:rPr>
        <w:t xml:space="preserve">induction </w:t>
      </w:r>
      <w:r w:rsidRPr="00AF0CED">
        <w:rPr>
          <w:bCs/>
        </w:rPr>
        <w:t>and treatment</w:t>
      </w:r>
    </w:p>
    <w:p w14:paraId="1BDF3E4A" w14:textId="2009B85C" w:rsidR="002D3C02" w:rsidRDefault="002D3C02" w:rsidP="002D3C02">
      <w:pPr>
        <w:spacing w:line="360" w:lineRule="auto"/>
        <w:jc w:val="both"/>
      </w:pPr>
      <w:r>
        <w:t xml:space="preserve">Hyperlipidemia was induced using poloxamer 407 (P407) using a method outlined by Wout et al. (1993) with minor adjustments. To speed up the dissolution process, P407 was dissolved in regular saline and chilled for the entire night in the fridge. To avoid gelation within the syringe during the injection, the syringes and needle used for the administration were both refrigerated also. Following an overnight fast, rats in groups 2–7 were injected with poloxamer 407 intraperitoneally at a rate of 1 g/kg body weight. Three hours later, higher levels of triglycerides and total cholesterol in animals were confirmed. This was followed with an oral administration of plant fractions (150 and 300 mg/kg </w:t>
      </w:r>
      <w:proofErr w:type="spellStart"/>
      <w:r>
        <w:t>bw</w:t>
      </w:r>
      <w:proofErr w:type="spellEnd"/>
      <w:r>
        <w:t xml:space="preserve">) and </w:t>
      </w:r>
      <w:proofErr w:type="spellStart"/>
      <w:r>
        <w:t>rosuvastatine</w:t>
      </w:r>
      <w:proofErr w:type="spellEnd"/>
      <w:r>
        <w:t xml:space="preserve"> (75 mg/kg) for three days.</w:t>
      </w:r>
    </w:p>
    <w:p w14:paraId="5E65530E" w14:textId="77777777" w:rsidR="002D3C02" w:rsidRDefault="002D3C02" w:rsidP="002D3C02">
      <w:pPr>
        <w:spacing w:line="360" w:lineRule="auto"/>
        <w:jc w:val="both"/>
      </w:pPr>
      <w:r>
        <w:t xml:space="preserve">Tail blood samples were taken from every animal before administering poloxamer, as well as at three, twenty-four, and forty-eight hours later. The whole blood was placed on a strip and a mission measuring meter was used to measure the amounts of triglycerides, total cholesterol and high-density lipoprotein. Three hours after P407 injection, increases in total cholesterol and triglyceride levels above 157 mg/dL (4 mmol/L) and 160 mg/dL (1.8 mmol/L), respectively, in the positive control rats confirmed the induction of hyperlipidemia </w:t>
      </w:r>
      <w:r w:rsidRPr="00AF0CED">
        <w:t>(Johnston and Palmer, 1993).</w:t>
      </w:r>
    </w:p>
    <w:p w14:paraId="7030266F" w14:textId="77777777" w:rsidR="002D3C02" w:rsidRDefault="002D3C02" w:rsidP="002D3C02">
      <w:pPr>
        <w:spacing w:line="360" w:lineRule="auto"/>
        <w:jc w:val="both"/>
      </w:pPr>
    </w:p>
    <w:p w14:paraId="023F752D" w14:textId="77777777" w:rsidR="002D3C02" w:rsidRPr="00AF0CED" w:rsidRDefault="002D3C02" w:rsidP="002D3C02">
      <w:pPr>
        <w:spacing w:after="240" w:line="360" w:lineRule="auto"/>
        <w:jc w:val="both"/>
        <w:rPr>
          <w:b/>
          <w:bCs/>
          <w:lang w:val="en-GB"/>
        </w:rPr>
      </w:pPr>
      <w:r w:rsidRPr="00AF0CED">
        <w:rPr>
          <w:b/>
          <w:bCs/>
          <w:lang w:val="en-GB"/>
        </w:rPr>
        <w:t>2.</w:t>
      </w:r>
      <w:r>
        <w:rPr>
          <w:b/>
          <w:bCs/>
          <w:lang w:val="en-GB"/>
        </w:rPr>
        <w:t>7</w:t>
      </w:r>
      <w:r w:rsidRPr="00AF0CED">
        <w:rPr>
          <w:b/>
          <w:bCs/>
          <w:lang w:val="en-GB"/>
        </w:rPr>
        <w:t xml:space="preserve"> Statistical analysis</w:t>
      </w:r>
    </w:p>
    <w:p w14:paraId="577EF4C5" w14:textId="4F15F308" w:rsidR="002D3C02" w:rsidRDefault="002D3C02" w:rsidP="002D3C02">
      <w:pPr>
        <w:spacing w:line="360" w:lineRule="auto"/>
        <w:jc w:val="both"/>
      </w:pPr>
      <w:r>
        <w:t xml:space="preserve">The mean ± Standard Error of Mean was used to present the </w:t>
      </w:r>
      <w:r w:rsidRPr="00CD574B">
        <w:rPr>
          <w:i/>
        </w:rPr>
        <w:t>in vivo</w:t>
      </w:r>
      <w:r>
        <w:t xml:space="preserve"> study results. Using the SPSS version 16 software, data analysis was carried out using one-way ANOVA. The Duncan multiple comparison test was used to access the level of significant difference between the groups and p &lt; 0.05 was taken as significant. IC</w:t>
      </w:r>
      <w:r w:rsidRPr="005C6C0E">
        <w:rPr>
          <w:vertAlign w:val="subscript"/>
        </w:rPr>
        <w:t>50</w:t>
      </w:r>
      <w:r>
        <w:t xml:space="preserve"> values from the </w:t>
      </w:r>
      <w:r w:rsidRPr="005C6C0E">
        <w:rPr>
          <w:i/>
        </w:rPr>
        <w:t>in</w:t>
      </w:r>
      <w:r>
        <w:rPr>
          <w:i/>
        </w:rPr>
        <w:t xml:space="preserve"> </w:t>
      </w:r>
      <w:r w:rsidRPr="005C6C0E">
        <w:rPr>
          <w:i/>
        </w:rPr>
        <w:t>vitro</w:t>
      </w:r>
      <w:r>
        <w:t xml:space="preserve"> studies were calculated using the GraphPad Prism 5 software. </w:t>
      </w:r>
    </w:p>
    <w:p w14:paraId="3C8116F7" w14:textId="77777777" w:rsidR="002D3C02" w:rsidRPr="00AF0CED" w:rsidRDefault="002D3C02" w:rsidP="002D3C02">
      <w:pPr>
        <w:spacing w:line="360" w:lineRule="auto"/>
        <w:jc w:val="both"/>
      </w:pPr>
    </w:p>
    <w:p w14:paraId="3F5AD3B4" w14:textId="77777777" w:rsidR="002D3C02" w:rsidRPr="00AF0CED" w:rsidRDefault="002D3C02" w:rsidP="002D3C02">
      <w:pPr>
        <w:spacing w:after="240" w:line="360" w:lineRule="auto"/>
        <w:jc w:val="both"/>
        <w:rPr>
          <w:b/>
        </w:rPr>
      </w:pPr>
      <w:r w:rsidRPr="00AF0CED">
        <w:rPr>
          <w:b/>
        </w:rPr>
        <w:t>3. Results</w:t>
      </w:r>
    </w:p>
    <w:p w14:paraId="1A786F4B" w14:textId="77777777" w:rsidR="002D3C02" w:rsidRPr="00AF0CED" w:rsidRDefault="002D3C02" w:rsidP="002D3C02">
      <w:pPr>
        <w:spacing w:after="240" w:line="360" w:lineRule="auto"/>
        <w:jc w:val="both"/>
      </w:pPr>
      <w:r w:rsidRPr="00AF0CED">
        <w:t>3.1 Inhibitory activity of plants against lipase and alpha-amylase</w:t>
      </w:r>
    </w:p>
    <w:p w14:paraId="19524DFD" w14:textId="08ED5BE4" w:rsidR="002D3C02" w:rsidRPr="00AF0CED" w:rsidRDefault="002D3C02" w:rsidP="002D3C02">
      <w:pPr>
        <w:spacing w:before="240" w:line="360" w:lineRule="auto"/>
        <w:jc w:val="both"/>
      </w:pPr>
      <w:r w:rsidRPr="00AF0CED">
        <w:lastRenderedPageBreak/>
        <w:t xml:space="preserve">The ethanol extracts of </w:t>
      </w:r>
      <w:r w:rsidRPr="00AF0CED">
        <w:rPr>
          <w:i/>
          <w:shd w:val="clear" w:color="auto" w:fill="FFFFFF"/>
        </w:rPr>
        <w:t>L. aegyptiaca</w:t>
      </w:r>
      <w:r>
        <w:rPr>
          <w:iCs/>
          <w:shd w:val="clear" w:color="auto" w:fill="FFFFFF"/>
        </w:rPr>
        <w:t>,</w:t>
      </w:r>
      <w:r w:rsidRPr="00AF0CED">
        <w:rPr>
          <w:i/>
          <w:shd w:val="clear" w:color="auto" w:fill="FFFFFF"/>
        </w:rPr>
        <w:t xml:space="preserve"> </w:t>
      </w:r>
      <w:r w:rsidRPr="00AF0CED">
        <w:rPr>
          <w:i/>
        </w:rPr>
        <w:t xml:space="preserve">B. vulgaris, C. </w:t>
      </w:r>
      <w:proofErr w:type="spellStart"/>
      <w:r w:rsidRPr="00AF0CED">
        <w:rPr>
          <w:i/>
        </w:rPr>
        <w:t>dactyon</w:t>
      </w:r>
      <w:proofErr w:type="spellEnd"/>
      <w:r>
        <w:rPr>
          <w:i/>
        </w:rPr>
        <w:t xml:space="preserve"> </w:t>
      </w:r>
      <w:r w:rsidRPr="00573324">
        <w:rPr>
          <w:iCs/>
        </w:rPr>
        <w:t>and</w:t>
      </w:r>
      <w:r w:rsidRPr="00AF0CED">
        <w:rPr>
          <w:i/>
        </w:rPr>
        <w:t xml:space="preserve"> V. subterranea</w:t>
      </w:r>
      <w:r w:rsidRPr="00AF0CED">
        <w:t xml:space="preserve"> inhibited alpha amylase (</w:t>
      </w:r>
      <w:r w:rsidR="0049555D">
        <w:t xml:space="preserve">Figure 1, </w:t>
      </w:r>
      <w:r w:rsidRPr="00AF0CED">
        <w:t xml:space="preserve">Table </w:t>
      </w:r>
      <w:r>
        <w:t>1</w:t>
      </w:r>
      <w:r w:rsidRPr="00AF0CED">
        <w:t xml:space="preserve">). Ethanolic extracts of </w:t>
      </w:r>
      <w:r w:rsidRPr="00AF0CED">
        <w:rPr>
          <w:i/>
        </w:rPr>
        <w:t xml:space="preserve">O. </w:t>
      </w:r>
      <w:proofErr w:type="spellStart"/>
      <w:r w:rsidRPr="00AF0CED">
        <w:rPr>
          <w:i/>
        </w:rPr>
        <w:t>gratissimum</w:t>
      </w:r>
      <w:proofErr w:type="spellEnd"/>
      <w:r w:rsidRPr="00AF0CED">
        <w:rPr>
          <w:i/>
        </w:rPr>
        <w:t>, Brassica oleracea</w:t>
      </w:r>
      <w:r>
        <w:rPr>
          <w:iCs/>
        </w:rPr>
        <w:t xml:space="preserve"> and</w:t>
      </w:r>
      <w:r w:rsidRPr="00AF0CED">
        <w:rPr>
          <w:i/>
          <w:shd w:val="clear" w:color="auto" w:fill="FFFFFF"/>
        </w:rPr>
        <w:t xml:space="preserve"> A. </w:t>
      </w:r>
      <w:proofErr w:type="spellStart"/>
      <w:r w:rsidRPr="00AF0CED">
        <w:rPr>
          <w:i/>
          <w:shd w:val="clear" w:color="auto" w:fill="FFFFFF"/>
        </w:rPr>
        <w:t>digitata</w:t>
      </w:r>
      <w:proofErr w:type="spellEnd"/>
      <w:r w:rsidRPr="00AF0CED">
        <w:rPr>
          <w:i/>
          <w:shd w:val="clear" w:color="auto" w:fill="FFFFFF"/>
        </w:rPr>
        <w:t xml:space="preserve"> </w:t>
      </w:r>
      <w:r w:rsidRPr="00AF0CED">
        <w:rPr>
          <w:shd w:val="clear" w:color="auto" w:fill="FFFFFF"/>
        </w:rPr>
        <w:t>inhibited lipase</w:t>
      </w:r>
      <w:r w:rsidR="0049555D">
        <w:rPr>
          <w:shd w:val="clear" w:color="auto" w:fill="FFFFFF"/>
        </w:rPr>
        <w:t xml:space="preserve"> (Figure 2, Table 1)</w:t>
      </w:r>
      <w:r w:rsidRPr="00AF0CED">
        <w:rPr>
          <w:shd w:val="clear" w:color="auto" w:fill="FFFFFF"/>
        </w:rPr>
        <w:t xml:space="preserve">. For the fractions, n-butanol fraction of </w:t>
      </w:r>
      <w:r w:rsidRPr="00AF0CED">
        <w:rPr>
          <w:i/>
        </w:rPr>
        <w:t xml:space="preserve">O. </w:t>
      </w:r>
      <w:proofErr w:type="spellStart"/>
      <w:r w:rsidRPr="00AF0CED">
        <w:rPr>
          <w:i/>
        </w:rPr>
        <w:t>gratissimum</w:t>
      </w:r>
      <w:proofErr w:type="spellEnd"/>
      <w:r w:rsidRPr="00AF0CED">
        <w:rPr>
          <w:i/>
        </w:rPr>
        <w:t xml:space="preserve"> </w:t>
      </w:r>
      <w:r w:rsidRPr="00AF0CED">
        <w:t xml:space="preserve">inhibited lipase while that of </w:t>
      </w:r>
      <w:r w:rsidRPr="00AF0CED">
        <w:rPr>
          <w:i/>
        </w:rPr>
        <w:t xml:space="preserve">V. subterranea </w:t>
      </w:r>
      <w:r w:rsidRPr="00AF0CED">
        <w:t>inhibited alpha-amylase as well as lipase</w:t>
      </w:r>
      <w:r>
        <w:t xml:space="preserve"> (</w:t>
      </w:r>
      <w:r w:rsidR="0049555D">
        <w:t xml:space="preserve">Figures 3&amp;4, </w:t>
      </w:r>
      <w:r>
        <w:t>Table 1)</w:t>
      </w:r>
      <w:r w:rsidRPr="00AF0CED">
        <w:t>.</w:t>
      </w:r>
    </w:p>
    <w:p w14:paraId="0586B02A" w14:textId="77777777" w:rsidR="002D3C02" w:rsidRPr="00AF0CED" w:rsidRDefault="002D3C02" w:rsidP="002D3C02">
      <w:pPr>
        <w:spacing w:before="240" w:line="360" w:lineRule="auto"/>
        <w:jc w:val="both"/>
      </w:pPr>
      <w:r w:rsidRPr="00AF0CED">
        <w:t xml:space="preserve">3.2. Acute toxicity of </w:t>
      </w:r>
      <w:r>
        <w:t xml:space="preserve">plant </w:t>
      </w:r>
      <w:r w:rsidRPr="00AF0CED">
        <w:t xml:space="preserve">fractions </w:t>
      </w:r>
    </w:p>
    <w:p w14:paraId="1B20F927" w14:textId="77777777" w:rsidR="002D3C02" w:rsidRPr="00AF0CED" w:rsidRDefault="002D3C02" w:rsidP="002D3C02">
      <w:pPr>
        <w:spacing w:before="240" w:line="360" w:lineRule="auto"/>
        <w:jc w:val="both"/>
      </w:pPr>
      <w:r w:rsidRPr="00AF0CED">
        <w:t xml:space="preserve">The n-butanol fractions of </w:t>
      </w:r>
      <w:r w:rsidRPr="00AF0CED">
        <w:rPr>
          <w:i/>
        </w:rPr>
        <w:t xml:space="preserve">O. </w:t>
      </w:r>
      <w:proofErr w:type="spellStart"/>
      <w:r w:rsidRPr="00AF0CED">
        <w:rPr>
          <w:i/>
        </w:rPr>
        <w:t>gratissimum</w:t>
      </w:r>
      <w:proofErr w:type="spellEnd"/>
      <w:r w:rsidRPr="00AF0CED">
        <w:rPr>
          <w:i/>
        </w:rPr>
        <w:t xml:space="preserve"> and V. subterranea </w:t>
      </w:r>
      <w:r w:rsidRPr="00AF0CED">
        <w:t>posed no harm to the rats as no death was recorded after administering 2000</w:t>
      </w:r>
      <w:r>
        <w:t xml:space="preserve"> </w:t>
      </w:r>
      <w:r w:rsidRPr="00AF0CED">
        <w:t xml:space="preserve">mg/kg </w:t>
      </w:r>
      <w:proofErr w:type="spellStart"/>
      <w:r w:rsidRPr="00AF0CED">
        <w:t>bw</w:t>
      </w:r>
      <w:proofErr w:type="spellEnd"/>
      <w:r w:rsidRPr="00AF0CED">
        <w:t xml:space="preserve"> single oral dose. During the study, there was also no adverse effect of the fractions recorded.</w:t>
      </w:r>
    </w:p>
    <w:p w14:paraId="5B0301FE" w14:textId="77777777" w:rsidR="002D3C02" w:rsidRPr="00AF0CED" w:rsidRDefault="002D3C02" w:rsidP="002D3C02">
      <w:pPr>
        <w:spacing w:line="360" w:lineRule="auto"/>
        <w:jc w:val="both"/>
      </w:pPr>
    </w:p>
    <w:p w14:paraId="1D70494A" w14:textId="77777777" w:rsidR="002D3C02" w:rsidRPr="00AF0CED" w:rsidRDefault="002D3C02" w:rsidP="002D3C02">
      <w:pPr>
        <w:spacing w:after="240" w:line="360" w:lineRule="auto"/>
        <w:jc w:val="both"/>
      </w:pPr>
      <w:r w:rsidRPr="00AF0CED">
        <w:t xml:space="preserve">3.3. Effects of </w:t>
      </w:r>
      <w:r w:rsidRPr="00AF0CED">
        <w:rPr>
          <w:i/>
        </w:rPr>
        <w:t xml:space="preserve">O. </w:t>
      </w:r>
      <w:proofErr w:type="spellStart"/>
      <w:r w:rsidRPr="00AF0CED">
        <w:rPr>
          <w:i/>
        </w:rPr>
        <w:t>gratissimum</w:t>
      </w:r>
      <w:proofErr w:type="spellEnd"/>
      <w:r w:rsidRPr="00AF0CED">
        <w:rPr>
          <w:i/>
        </w:rPr>
        <w:t xml:space="preserve"> and V. subterranea</w:t>
      </w:r>
      <w:r w:rsidRPr="00AF0CED">
        <w:t xml:space="preserve"> on lipid levels in treated rats</w:t>
      </w:r>
    </w:p>
    <w:p w14:paraId="77B85174" w14:textId="77777777" w:rsidR="002D3C02" w:rsidRPr="00AF0CED" w:rsidRDefault="002D3C02" w:rsidP="002D3C02">
      <w:pPr>
        <w:spacing w:line="360" w:lineRule="auto"/>
        <w:jc w:val="both"/>
      </w:pPr>
      <w:r w:rsidRPr="00AF0CED">
        <w:t>A significant decrease (</w:t>
      </w:r>
      <w:r>
        <w:t>p &lt; 0.05</w:t>
      </w:r>
      <w:r w:rsidRPr="00AF0CED">
        <w:t>) in TG levels was noticed at 24 hours in all treated groups (</w:t>
      </w:r>
      <w:r w:rsidRPr="00AF0CED">
        <w:rPr>
          <w:i/>
        </w:rPr>
        <w:t xml:space="preserve">O. </w:t>
      </w:r>
      <w:proofErr w:type="spellStart"/>
      <w:r w:rsidRPr="00AF0CED">
        <w:rPr>
          <w:i/>
        </w:rPr>
        <w:t>gratissimum</w:t>
      </w:r>
      <w:proofErr w:type="spellEnd"/>
      <w:r>
        <w:rPr>
          <w:iCs/>
        </w:rPr>
        <w:t xml:space="preserve">, </w:t>
      </w:r>
      <w:r w:rsidRPr="00AF0CED">
        <w:rPr>
          <w:i/>
        </w:rPr>
        <w:t>V. subterranea</w:t>
      </w:r>
      <w:r w:rsidRPr="00AF0CED">
        <w:t xml:space="preserve"> and rosuvastatin) compared to the hyperlipidemic control group which seemed to have weaned after 48 hours as no significant difference (</w:t>
      </w:r>
      <w:r>
        <w:t>p &lt; 0.05</w:t>
      </w:r>
      <w:r w:rsidRPr="00AF0CED">
        <w:t xml:space="preserve">) ensued between the treated groups and the hyperlipidemic control group. For groups treated with </w:t>
      </w:r>
      <w:r w:rsidRPr="00AF0CED">
        <w:rPr>
          <w:i/>
        </w:rPr>
        <w:t>V</w:t>
      </w:r>
      <w:r>
        <w:rPr>
          <w:i/>
        </w:rPr>
        <w:t>.</w:t>
      </w:r>
      <w:r w:rsidRPr="00AF0CED">
        <w:rPr>
          <w:i/>
        </w:rPr>
        <w:t xml:space="preserve"> subterranea</w:t>
      </w:r>
      <w:r w:rsidRPr="00AF0CED">
        <w:t>, at 24 hours, the triglyceride levels for the 300</w:t>
      </w:r>
      <w:r>
        <w:t xml:space="preserve"> </w:t>
      </w:r>
      <w:r w:rsidRPr="00AF0CED">
        <w:t>mg/kg group significantly decreased compared to the hyperlipidemic group. A</w:t>
      </w:r>
      <w:r>
        <w:t>fter 48 hours</w:t>
      </w:r>
      <w:r w:rsidRPr="00AF0CED">
        <w:t xml:space="preserve">, a significant decrease </w:t>
      </w:r>
      <w:r>
        <w:t xml:space="preserve">was recorded </w:t>
      </w:r>
      <w:r w:rsidRPr="00AF0CED">
        <w:t>in triglyceride levels of group</w:t>
      </w:r>
      <w:r>
        <w:t>s</w:t>
      </w:r>
      <w:r w:rsidRPr="00AF0CED">
        <w:t xml:space="preserve"> 3-5 </w:t>
      </w:r>
      <w:r>
        <w:t xml:space="preserve">in comparison </w:t>
      </w:r>
      <w:r w:rsidRPr="00AF0CED">
        <w:t xml:space="preserve">to the hyperlipidemic control (Table </w:t>
      </w:r>
      <w:r>
        <w:t>2</w:t>
      </w:r>
      <w:r w:rsidRPr="00AF0CED">
        <w:t xml:space="preserve">).  </w:t>
      </w:r>
    </w:p>
    <w:p w14:paraId="7519CA78" w14:textId="77777777" w:rsidR="002D3C02" w:rsidRPr="00AF0CED" w:rsidRDefault="002D3C02" w:rsidP="002D3C02">
      <w:pPr>
        <w:spacing w:line="360" w:lineRule="auto"/>
        <w:jc w:val="both"/>
      </w:pPr>
    </w:p>
    <w:p w14:paraId="79795D32" w14:textId="11D4448D" w:rsidR="002D3C02" w:rsidRPr="00AF0CED" w:rsidRDefault="002D3C02" w:rsidP="002D3C02">
      <w:pPr>
        <w:spacing w:line="360" w:lineRule="auto"/>
        <w:jc w:val="both"/>
      </w:pPr>
      <w:r>
        <w:t>When comparing the treated groups (</w:t>
      </w:r>
      <w:r w:rsidRPr="001A233B">
        <w:rPr>
          <w:i/>
        </w:rPr>
        <w:t xml:space="preserve">O. </w:t>
      </w:r>
      <w:proofErr w:type="spellStart"/>
      <w:r w:rsidRPr="001A233B">
        <w:rPr>
          <w:i/>
        </w:rPr>
        <w:t>gratissimum</w:t>
      </w:r>
      <w:proofErr w:type="spellEnd"/>
      <w:r>
        <w:t xml:space="preserve">, </w:t>
      </w:r>
      <w:r w:rsidRPr="001A233B">
        <w:rPr>
          <w:i/>
        </w:rPr>
        <w:t>V. subterranea</w:t>
      </w:r>
      <w:r>
        <w:t xml:space="preserve">, and </w:t>
      </w:r>
      <w:r w:rsidRPr="00AF0CED">
        <w:t>rosuvastatin</w:t>
      </w:r>
      <w:r>
        <w:t xml:space="preserve">) to the normal group, a significant increase (p &lt; 0.05) in HDL-C levels was only observed at 24 hours. However, after three hours, the treated group (300 mg/kg of </w:t>
      </w:r>
      <w:r w:rsidRPr="001A233B">
        <w:rPr>
          <w:i/>
        </w:rPr>
        <w:t xml:space="preserve">O. </w:t>
      </w:r>
      <w:proofErr w:type="spellStart"/>
      <w:r w:rsidRPr="001A233B">
        <w:rPr>
          <w:i/>
        </w:rPr>
        <w:t>gratissimum</w:t>
      </w:r>
      <w:proofErr w:type="spellEnd"/>
      <w:r>
        <w:t xml:space="preserve">) showed a significant increase (p &lt; 0.05) in HDL-C levels relative to the hyperlipidemic control group. When comparing the treatment groups (300 mg/kg of </w:t>
      </w:r>
      <w:proofErr w:type="spellStart"/>
      <w:proofErr w:type="gramStart"/>
      <w:r w:rsidRPr="001A233B">
        <w:rPr>
          <w:i/>
        </w:rPr>
        <w:t>O.gratissimum</w:t>
      </w:r>
      <w:proofErr w:type="spellEnd"/>
      <w:proofErr w:type="gramEnd"/>
      <w:r>
        <w:t xml:space="preserve"> and rosuvastatin) to the hyperlipidemic rats after 48 hours, the HDL-C levels were significantly reduced (p &lt; 0.05) in the treated groups </w:t>
      </w:r>
      <w:r w:rsidRPr="00AF0CED">
        <w:t xml:space="preserve">(Table </w:t>
      </w:r>
      <w:r>
        <w:t>3</w:t>
      </w:r>
      <w:r w:rsidRPr="00AF0CED">
        <w:t xml:space="preserve">). </w:t>
      </w:r>
    </w:p>
    <w:p w14:paraId="3FF92DE4" w14:textId="77777777" w:rsidR="002D3C02" w:rsidRPr="00AF0CED" w:rsidRDefault="002D3C02" w:rsidP="002D3C02">
      <w:pPr>
        <w:spacing w:line="360" w:lineRule="auto"/>
        <w:jc w:val="both"/>
      </w:pPr>
    </w:p>
    <w:p w14:paraId="55625EDD" w14:textId="4D4F110F" w:rsidR="002D3C02" w:rsidRPr="00AF0CED" w:rsidRDefault="002D3C02" w:rsidP="002D3C02">
      <w:pPr>
        <w:spacing w:line="360" w:lineRule="auto"/>
        <w:jc w:val="both"/>
      </w:pPr>
      <w:r>
        <w:t xml:space="preserve">After twenty-four hours, the LDL-C of the treated group (150 mg/kg </w:t>
      </w:r>
      <w:proofErr w:type="spellStart"/>
      <w:r w:rsidRPr="002D1F49">
        <w:rPr>
          <w:i/>
        </w:rPr>
        <w:t>Ocimum</w:t>
      </w:r>
      <w:proofErr w:type="spellEnd"/>
      <w:r w:rsidRPr="002D1F49">
        <w:rPr>
          <w:i/>
        </w:rPr>
        <w:t xml:space="preserve"> </w:t>
      </w:r>
      <w:proofErr w:type="spellStart"/>
      <w:r w:rsidRPr="002D1F49">
        <w:rPr>
          <w:i/>
        </w:rPr>
        <w:t>gratissimum</w:t>
      </w:r>
      <w:proofErr w:type="spellEnd"/>
      <w:r>
        <w:t>) was significantly higher (p &lt; 0.05) in comparis</w:t>
      </w:r>
      <w:r w:rsidR="002D1851">
        <w:t>on</w:t>
      </w:r>
      <w:r>
        <w:t xml:space="preserve"> to the hyperlipidemic control. However, the LDL-C </w:t>
      </w:r>
      <w:r>
        <w:lastRenderedPageBreak/>
        <w:t>of the treated group (</w:t>
      </w:r>
      <w:r w:rsidRPr="002D1F49">
        <w:rPr>
          <w:i/>
        </w:rPr>
        <w:t>O. gratissimum</w:t>
      </w:r>
      <w:r>
        <w:t>-300 mg/kg) was significantly lower (p &lt; 0.05) relative to the hyperlipidemic control, whereas it was significantly higher (p &lt; 0.05) in the treated group (</w:t>
      </w:r>
      <w:r w:rsidRPr="001C250F">
        <w:rPr>
          <w:i/>
        </w:rPr>
        <w:t>V. subterranea</w:t>
      </w:r>
      <w:r>
        <w:t>-300 mg/kg). Notably, all treatment groups' LDL-C significantly decreased (p &lt; 0.05) in comparison to the hyperlipidemic control group at 48 hours</w:t>
      </w:r>
      <w:r w:rsidRPr="00AF0CED">
        <w:t xml:space="preserve"> (Table </w:t>
      </w:r>
      <w:r>
        <w:t>4</w:t>
      </w:r>
      <w:r w:rsidRPr="00AF0CED">
        <w:t xml:space="preserve">). </w:t>
      </w:r>
    </w:p>
    <w:p w14:paraId="39DE38B9" w14:textId="77777777" w:rsidR="002D3C02" w:rsidRPr="00AF0CED" w:rsidRDefault="002D3C02" w:rsidP="002D3C02">
      <w:pPr>
        <w:spacing w:line="360" w:lineRule="auto"/>
        <w:jc w:val="both"/>
      </w:pPr>
    </w:p>
    <w:p w14:paraId="1D32F563" w14:textId="77777777" w:rsidR="002D3C02" w:rsidRPr="00AF0CED" w:rsidRDefault="002D3C02" w:rsidP="002D3C02">
      <w:pPr>
        <w:tabs>
          <w:tab w:val="left" w:pos="2191"/>
        </w:tabs>
        <w:spacing w:line="360" w:lineRule="auto"/>
        <w:jc w:val="both"/>
      </w:pPr>
      <w:r w:rsidRPr="00AF0CED">
        <w:rPr>
          <w:bCs/>
        </w:rPr>
        <w:t xml:space="preserve">CHOL/HDL after 24 hours significantly decreased </w:t>
      </w:r>
      <w:r w:rsidRPr="00AF0CED">
        <w:t>(</w:t>
      </w:r>
      <w:r>
        <w:t>p &lt; 0.05</w:t>
      </w:r>
      <w:r w:rsidRPr="00AF0CED">
        <w:t>)</w:t>
      </w:r>
      <w:r w:rsidRPr="00AF0CED">
        <w:rPr>
          <w:bCs/>
        </w:rPr>
        <w:t xml:space="preserve"> in the hyperlipidemic control group </w:t>
      </w:r>
      <w:r>
        <w:rPr>
          <w:bCs/>
        </w:rPr>
        <w:t>and</w:t>
      </w:r>
      <w:r w:rsidRPr="00AF0CED">
        <w:rPr>
          <w:bCs/>
        </w:rPr>
        <w:t xml:space="preserve"> treated groups (</w:t>
      </w:r>
      <w:proofErr w:type="spellStart"/>
      <w:r w:rsidRPr="00AF0CED">
        <w:rPr>
          <w:bCs/>
        </w:rPr>
        <w:t>rosuvastatine</w:t>
      </w:r>
      <w:proofErr w:type="spellEnd"/>
      <w:r w:rsidRPr="00AF0CED">
        <w:rPr>
          <w:bCs/>
        </w:rPr>
        <w:t xml:space="preserve"> and </w:t>
      </w:r>
      <w:r w:rsidRPr="00AF0CED">
        <w:rPr>
          <w:bCs/>
          <w:i/>
        </w:rPr>
        <w:t>V. subterranea</w:t>
      </w:r>
      <w:r w:rsidRPr="00AF0CED">
        <w:rPr>
          <w:bCs/>
        </w:rPr>
        <w:t xml:space="preserve">-150mg/kg) compared to the normal </w:t>
      </w:r>
      <w:r>
        <w:rPr>
          <w:bCs/>
        </w:rPr>
        <w:t>control</w:t>
      </w:r>
      <w:r w:rsidRPr="00AF0CED">
        <w:rPr>
          <w:bCs/>
        </w:rPr>
        <w:t xml:space="preserve">. </w:t>
      </w:r>
      <w:r>
        <w:rPr>
          <w:bCs/>
        </w:rPr>
        <w:t xml:space="preserve">A </w:t>
      </w:r>
      <w:r w:rsidRPr="00AF0CED">
        <w:t>significant increase (</w:t>
      </w:r>
      <w:r>
        <w:t>p &lt; 0.05</w:t>
      </w:r>
      <w:r w:rsidRPr="00AF0CED">
        <w:t xml:space="preserve">) </w:t>
      </w:r>
      <w:r>
        <w:t xml:space="preserve">was observed </w:t>
      </w:r>
      <w:r w:rsidRPr="00AF0CED">
        <w:t xml:space="preserve">in CHOL/HDL in groups treated with </w:t>
      </w:r>
      <w:proofErr w:type="spellStart"/>
      <w:r w:rsidRPr="00AF0CED">
        <w:t>rosuvastatine</w:t>
      </w:r>
      <w:proofErr w:type="spellEnd"/>
      <w:r w:rsidRPr="00AF0CED">
        <w:t xml:space="preserve"> and 300</w:t>
      </w:r>
      <w:r>
        <w:t xml:space="preserve"> </w:t>
      </w:r>
      <w:r w:rsidRPr="00AF0CED">
        <w:t>mg/kg n-butanol fraction</w:t>
      </w:r>
      <w:r>
        <w:t xml:space="preserve"> </w:t>
      </w:r>
      <w:r w:rsidRPr="00AF0CED">
        <w:t xml:space="preserve">of </w:t>
      </w:r>
      <w:proofErr w:type="spellStart"/>
      <w:r w:rsidRPr="00AF0CED">
        <w:rPr>
          <w:i/>
        </w:rPr>
        <w:t>Ocimum</w:t>
      </w:r>
      <w:proofErr w:type="spellEnd"/>
      <w:r w:rsidRPr="00AF0CED">
        <w:rPr>
          <w:i/>
        </w:rPr>
        <w:t xml:space="preserve"> </w:t>
      </w:r>
      <w:proofErr w:type="spellStart"/>
      <w:r w:rsidRPr="00AF0CED">
        <w:rPr>
          <w:i/>
        </w:rPr>
        <w:t>gratissimum</w:t>
      </w:r>
      <w:proofErr w:type="spellEnd"/>
      <w:r>
        <w:t>,</w:t>
      </w:r>
      <w:r w:rsidRPr="00AF0CED">
        <w:t xml:space="preserve"> while a significant decrease (</w:t>
      </w:r>
      <w:r>
        <w:t>p &lt; 0.05</w:t>
      </w:r>
      <w:r w:rsidRPr="00AF0CED">
        <w:t>) ensued in the treated (150</w:t>
      </w:r>
      <w:r>
        <w:t xml:space="preserve"> </w:t>
      </w:r>
      <w:r w:rsidRPr="00AF0CED">
        <w:t>mg/kg) compare</w:t>
      </w:r>
      <w:r>
        <w:t>d</w:t>
      </w:r>
      <w:r w:rsidRPr="00AF0CED">
        <w:t xml:space="preserve"> to</w:t>
      </w:r>
      <w:r>
        <w:t xml:space="preserve"> the</w:t>
      </w:r>
      <w:r w:rsidRPr="00AF0CED">
        <w:t xml:space="preserve"> hyperlipidemic control group after 48 hours. </w:t>
      </w:r>
      <w:r>
        <w:t xml:space="preserve">Levels of </w:t>
      </w:r>
      <w:r w:rsidRPr="00AF0CED">
        <w:t>LDL-</w:t>
      </w:r>
      <w:r>
        <w:t>C decreased significantly</w:t>
      </w:r>
      <w:r w:rsidRPr="00AF0CED">
        <w:t xml:space="preserve"> (p &lt; 0.05) in all treated groups after forty-eight hours </w:t>
      </w:r>
      <w:r>
        <w:t xml:space="preserve">in comparison </w:t>
      </w:r>
      <w:r w:rsidRPr="00AF0CED">
        <w:t xml:space="preserve">to the hyperlipidemic control group (Table </w:t>
      </w:r>
      <w:r>
        <w:t>5</w:t>
      </w:r>
      <w:r w:rsidRPr="00AF0CED">
        <w:t xml:space="preserve">). </w:t>
      </w:r>
    </w:p>
    <w:p w14:paraId="46FCAB2F" w14:textId="77777777" w:rsidR="002D3C02" w:rsidRPr="00AF0CED" w:rsidRDefault="002D3C02" w:rsidP="002D3C02">
      <w:pPr>
        <w:tabs>
          <w:tab w:val="left" w:pos="2191"/>
        </w:tabs>
        <w:spacing w:line="360" w:lineRule="auto"/>
        <w:jc w:val="both"/>
        <w:rPr>
          <w:bCs/>
        </w:rPr>
      </w:pPr>
    </w:p>
    <w:p w14:paraId="66400A35" w14:textId="77777777" w:rsidR="002D3C02" w:rsidRPr="00AF0CED" w:rsidRDefault="002D3C02" w:rsidP="002D3C02">
      <w:pPr>
        <w:spacing w:line="360" w:lineRule="auto"/>
        <w:jc w:val="both"/>
      </w:pPr>
      <w:r>
        <w:t xml:space="preserve">After three hours, all induced groups had considerably higher TC levels (p &lt; 0.05) than the hyperlipidemic and treated groups, indicating that poloxamer 407 had successfully induced hyperlipidemia. After 24 hours, groups treated with </w:t>
      </w:r>
      <w:r w:rsidRPr="00F57502">
        <w:rPr>
          <w:i/>
        </w:rPr>
        <w:t>V. subterranea</w:t>
      </w:r>
      <w:r>
        <w:t xml:space="preserve"> showed a significant increase (p &lt; 0.05) in TC levels when compared to the normal control group, but not the hyperlipidemic control group. Conversely, groups treated with </w:t>
      </w:r>
      <w:r w:rsidRPr="00F57502">
        <w:rPr>
          <w:i/>
        </w:rPr>
        <w:t xml:space="preserve">O. </w:t>
      </w:r>
      <w:proofErr w:type="spellStart"/>
      <w:r w:rsidRPr="00F57502">
        <w:rPr>
          <w:i/>
        </w:rPr>
        <w:t>gratissimum</w:t>
      </w:r>
      <w:proofErr w:type="spellEnd"/>
      <w:r>
        <w:t xml:space="preserve"> showed a significant decrease (p &lt; 0.05) in TC when compared to the hyperlipidemic control group. Rats treated with </w:t>
      </w:r>
      <w:r w:rsidRPr="00F57502">
        <w:rPr>
          <w:i/>
        </w:rPr>
        <w:t xml:space="preserve">O. </w:t>
      </w:r>
      <w:proofErr w:type="spellStart"/>
      <w:r w:rsidRPr="00F57502">
        <w:rPr>
          <w:i/>
        </w:rPr>
        <w:t>gratissimum</w:t>
      </w:r>
      <w:proofErr w:type="spellEnd"/>
      <w:r>
        <w:t xml:space="preserve">, </w:t>
      </w:r>
      <w:r w:rsidRPr="00F57502">
        <w:rPr>
          <w:i/>
        </w:rPr>
        <w:t xml:space="preserve">Vigna </w:t>
      </w:r>
      <w:proofErr w:type="spellStart"/>
      <w:r w:rsidRPr="00F57502">
        <w:rPr>
          <w:i/>
        </w:rPr>
        <w:t>subterranea</w:t>
      </w:r>
      <w:proofErr w:type="spellEnd"/>
      <w:r>
        <w:t>, and Rosuvastatin had significantly lower total cholesterol levels (p &lt; 0.05) after 48 hours when compared to the hyperlipidemic control group</w:t>
      </w:r>
      <w:r w:rsidRPr="00AF0CED">
        <w:t xml:space="preserve"> (Table </w:t>
      </w:r>
      <w:r>
        <w:t>6</w:t>
      </w:r>
      <w:r w:rsidRPr="00AF0CED">
        <w:t>).</w:t>
      </w:r>
    </w:p>
    <w:p w14:paraId="41D46ED1" w14:textId="77777777" w:rsidR="002D3C02" w:rsidRPr="00AF0CED" w:rsidRDefault="002D3C02" w:rsidP="002D3C02">
      <w:pPr>
        <w:spacing w:line="360" w:lineRule="auto"/>
        <w:jc w:val="both"/>
      </w:pPr>
    </w:p>
    <w:p w14:paraId="0DAC206B" w14:textId="77777777" w:rsidR="002D3C02" w:rsidRPr="00AF0CED" w:rsidRDefault="002D3C02" w:rsidP="002D3C02">
      <w:pPr>
        <w:spacing w:line="360" w:lineRule="auto"/>
        <w:jc w:val="both"/>
      </w:pPr>
    </w:p>
    <w:p w14:paraId="1F647035" w14:textId="7B483200" w:rsidR="002D3C02" w:rsidRPr="00AF0CED" w:rsidRDefault="002D3C02" w:rsidP="002D3C02">
      <w:pPr>
        <w:spacing w:line="360" w:lineRule="auto"/>
        <w:jc w:val="both"/>
      </w:pPr>
      <w:r>
        <w:rPr>
          <w:noProof/>
        </w:rPr>
        <w:lastRenderedPageBreak/>
        <w:drawing>
          <wp:inline distT="0" distB="0" distL="0" distR="0" wp14:anchorId="0BC3469E" wp14:editId="37F2DE55">
            <wp:extent cx="3424555" cy="2705735"/>
            <wp:effectExtent l="0" t="0" r="0" b="0"/>
            <wp:docPr id="2508427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4555" cy="2705735"/>
                    </a:xfrm>
                    <a:prstGeom prst="rect">
                      <a:avLst/>
                    </a:prstGeom>
                    <a:noFill/>
                    <a:ln>
                      <a:noFill/>
                    </a:ln>
                  </pic:spPr>
                </pic:pic>
              </a:graphicData>
            </a:graphic>
          </wp:inline>
        </w:drawing>
      </w:r>
      <w:r w:rsidRPr="00AF0CED">
        <w:br w:type="textWrapping" w:clear="all"/>
      </w:r>
    </w:p>
    <w:p w14:paraId="6B3151BB" w14:textId="120F36B0" w:rsidR="002D3C02" w:rsidRPr="00AF0CED" w:rsidRDefault="002D3C02" w:rsidP="002D3C02">
      <w:pPr>
        <w:spacing w:line="360" w:lineRule="auto"/>
        <w:jc w:val="both"/>
      </w:pPr>
      <w:r w:rsidRPr="00AF0CED">
        <w:t xml:space="preserve">Figure 1: Percentage inhibition of plants extracts against α-amylase activity at </w:t>
      </w:r>
      <w:r w:rsidRPr="004F490E">
        <w:t>5</w:t>
      </w:r>
      <w:r w:rsidR="0049555D">
        <w:t xml:space="preserve"> </w:t>
      </w:r>
      <w:r w:rsidRPr="004F490E">
        <w:t>mg/ml</w:t>
      </w:r>
    </w:p>
    <w:p w14:paraId="5E1960C7" w14:textId="77777777" w:rsidR="002D3C02" w:rsidRPr="00AF0CED" w:rsidRDefault="002D3C02" w:rsidP="002D3C02">
      <w:pPr>
        <w:jc w:val="both"/>
        <w:rPr>
          <w:sz w:val="20"/>
          <w:szCs w:val="20"/>
        </w:rPr>
      </w:pPr>
      <w:bookmarkStart w:id="4" w:name="OLE_LINK1"/>
      <w:r w:rsidRPr="00AF0CED">
        <w:rPr>
          <w:sz w:val="20"/>
          <w:szCs w:val="20"/>
        </w:rPr>
        <w:t xml:space="preserve">AC- Acarbose, AD- </w:t>
      </w:r>
      <w:r w:rsidRPr="00AF0CED">
        <w:rPr>
          <w:i/>
          <w:iCs/>
          <w:sz w:val="20"/>
          <w:szCs w:val="20"/>
        </w:rPr>
        <w:t>Adansonia digitata</w:t>
      </w:r>
      <w:r w:rsidRPr="00AF0CED">
        <w:rPr>
          <w:sz w:val="20"/>
          <w:szCs w:val="20"/>
        </w:rPr>
        <w:t xml:space="preserve">, BV- </w:t>
      </w:r>
      <w:r w:rsidRPr="00AF0CED">
        <w:rPr>
          <w:i/>
          <w:iCs/>
          <w:sz w:val="20"/>
          <w:szCs w:val="20"/>
        </w:rPr>
        <w:t>Beta vulgaris</w:t>
      </w:r>
      <w:r w:rsidRPr="00AF0CED">
        <w:rPr>
          <w:sz w:val="20"/>
          <w:szCs w:val="20"/>
        </w:rPr>
        <w:t xml:space="preserve">, BO- </w:t>
      </w:r>
      <w:r w:rsidRPr="00AF0CED">
        <w:rPr>
          <w:i/>
          <w:iCs/>
          <w:sz w:val="20"/>
          <w:szCs w:val="20"/>
        </w:rPr>
        <w:t>Brassica oleracea</w:t>
      </w:r>
      <w:r w:rsidRPr="00AF0CED">
        <w:rPr>
          <w:sz w:val="20"/>
          <w:szCs w:val="20"/>
        </w:rPr>
        <w:t xml:space="preserve">, CD- </w:t>
      </w:r>
      <w:proofErr w:type="spellStart"/>
      <w:r w:rsidRPr="00AF0CED">
        <w:rPr>
          <w:i/>
          <w:iCs/>
          <w:sz w:val="20"/>
          <w:szCs w:val="20"/>
        </w:rPr>
        <w:t>Cynodon</w:t>
      </w:r>
      <w:proofErr w:type="spellEnd"/>
      <w:r w:rsidRPr="00AF0CED">
        <w:rPr>
          <w:i/>
          <w:iCs/>
          <w:sz w:val="20"/>
          <w:szCs w:val="20"/>
        </w:rPr>
        <w:t xml:space="preserve"> </w:t>
      </w:r>
      <w:proofErr w:type="spellStart"/>
      <w:r w:rsidRPr="00AF0CED">
        <w:rPr>
          <w:i/>
          <w:iCs/>
          <w:sz w:val="20"/>
          <w:szCs w:val="20"/>
        </w:rPr>
        <w:t>dactylon</w:t>
      </w:r>
      <w:proofErr w:type="spellEnd"/>
      <w:r w:rsidRPr="00AF0CED">
        <w:rPr>
          <w:sz w:val="20"/>
          <w:szCs w:val="20"/>
        </w:rPr>
        <w:t xml:space="preserve">, DT- </w:t>
      </w:r>
      <w:proofErr w:type="spellStart"/>
      <w:r w:rsidRPr="00AF0CED">
        <w:rPr>
          <w:i/>
          <w:iCs/>
          <w:sz w:val="20"/>
          <w:szCs w:val="20"/>
        </w:rPr>
        <w:t>Dennettia</w:t>
      </w:r>
      <w:proofErr w:type="spellEnd"/>
      <w:r w:rsidRPr="00AF0CED">
        <w:rPr>
          <w:i/>
          <w:iCs/>
          <w:sz w:val="20"/>
          <w:szCs w:val="20"/>
        </w:rPr>
        <w:t xml:space="preserve"> </w:t>
      </w:r>
      <w:proofErr w:type="spellStart"/>
      <w:r w:rsidRPr="00AF0CED">
        <w:rPr>
          <w:i/>
          <w:iCs/>
          <w:sz w:val="20"/>
          <w:szCs w:val="20"/>
        </w:rPr>
        <w:t>tripetala</w:t>
      </w:r>
      <w:proofErr w:type="spellEnd"/>
      <w:r w:rsidRPr="00AF0CED">
        <w:rPr>
          <w:sz w:val="20"/>
          <w:szCs w:val="20"/>
        </w:rPr>
        <w:t xml:space="preserve">, LA- </w:t>
      </w:r>
      <w:r w:rsidRPr="00AF0CED">
        <w:rPr>
          <w:i/>
          <w:iCs/>
          <w:sz w:val="20"/>
          <w:szCs w:val="20"/>
        </w:rPr>
        <w:t xml:space="preserve">Luffa </w:t>
      </w:r>
      <w:proofErr w:type="spellStart"/>
      <w:r w:rsidRPr="00AF0CED">
        <w:rPr>
          <w:i/>
          <w:iCs/>
          <w:sz w:val="20"/>
          <w:szCs w:val="20"/>
        </w:rPr>
        <w:t>aegyptiaca</w:t>
      </w:r>
      <w:proofErr w:type="spellEnd"/>
      <w:r w:rsidRPr="00AF0CED">
        <w:rPr>
          <w:sz w:val="20"/>
          <w:szCs w:val="20"/>
        </w:rPr>
        <w:t xml:space="preserve">, OG- </w:t>
      </w:r>
      <w:proofErr w:type="spellStart"/>
      <w:r w:rsidRPr="00AF0CED">
        <w:rPr>
          <w:i/>
          <w:iCs/>
          <w:sz w:val="20"/>
          <w:szCs w:val="20"/>
        </w:rPr>
        <w:t>Ocimum</w:t>
      </w:r>
      <w:proofErr w:type="spellEnd"/>
      <w:r w:rsidRPr="00AF0CED">
        <w:rPr>
          <w:i/>
          <w:iCs/>
          <w:sz w:val="20"/>
          <w:szCs w:val="20"/>
        </w:rPr>
        <w:t xml:space="preserve"> </w:t>
      </w:r>
      <w:proofErr w:type="spellStart"/>
      <w:r w:rsidRPr="00AF0CED">
        <w:rPr>
          <w:i/>
          <w:iCs/>
          <w:sz w:val="20"/>
          <w:szCs w:val="20"/>
        </w:rPr>
        <w:t>gratissimum</w:t>
      </w:r>
      <w:proofErr w:type="spellEnd"/>
      <w:r w:rsidRPr="00AF0CED">
        <w:rPr>
          <w:sz w:val="20"/>
          <w:szCs w:val="20"/>
        </w:rPr>
        <w:t xml:space="preserve">, VS- </w:t>
      </w:r>
      <w:r w:rsidRPr="00AF0CED">
        <w:rPr>
          <w:i/>
          <w:iCs/>
          <w:sz w:val="20"/>
          <w:szCs w:val="20"/>
        </w:rPr>
        <w:t xml:space="preserve">Vigna </w:t>
      </w:r>
      <w:proofErr w:type="spellStart"/>
      <w:r w:rsidRPr="00AF0CED">
        <w:rPr>
          <w:i/>
          <w:iCs/>
          <w:sz w:val="20"/>
          <w:szCs w:val="20"/>
        </w:rPr>
        <w:t>subterranea</w:t>
      </w:r>
      <w:proofErr w:type="spellEnd"/>
    </w:p>
    <w:bookmarkEnd w:id="4"/>
    <w:p w14:paraId="0EA2973A" w14:textId="77777777" w:rsidR="002D3C02" w:rsidRPr="00AF0CED" w:rsidRDefault="002D3C02" w:rsidP="002D3C02">
      <w:pPr>
        <w:spacing w:line="360" w:lineRule="auto"/>
        <w:jc w:val="both"/>
      </w:pPr>
    </w:p>
    <w:p w14:paraId="0E9032E3" w14:textId="77777777" w:rsidR="002D3C02" w:rsidRPr="00AF0CED" w:rsidRDefault="002D3C02" w:rsidP="002D3C02">
      <w:pPr>
        <w:spacing w:line="360" w:lineRule="auto"/>
        <w:jc w:val="both"/>
      </w:pPr>
    </w:p>
    <w:p w14:paraId="4CFCE563" w14:textId="77777777" w:rsidR="002D3C02" w:rsidRPr="00AF0CED" w:rsidRDefault="002D3C02" w:rsidP="002D3C02">
      <w:pPr>
        <w:spacing w:line="360" w:lineRule="auto"/>
        <w:jc w:val="both"/>
      </w:pPr>
    </w:p>
    <w:p w14:paraId="1CF8E647" w14:textId="77777777" w:rsidR="002D3C02" w:rsidRPr="00AF0CED" w:rsidRDefault="002D3C02" w:rsidP="002D3C02">
      <w:pPr>
        <w:spacing w:line="360" w:lineRule="auto"/>
        <w:jc w:val="both"/>
      </w:pPr>
    </w:p>
    <w:p w14:paraId="13A6E712" w14:textId="77777777" w:rsidR="002D3C02" w:rsidRPr="00AF0CED" w:rsidRDefault="002D3C02" w:rsidP="002D3C02">
      <w:pPr>
        <w:spacing w:line="360" w:lineRule="auto"/>
        <w:jc w:val="both"/>
      </w:pPr>
    </w:p>
    <w:p w14:paraId="04FB56A3" w14:textId="77777777" w:rsidR="002D3C02" w:rsidRPr="00AF0CED" w:rsidRDefault="002D3C02" w:rsidP="002D3C02">
      <w:pPr>
        <w:spacing w:line="360" w:lineRule="auto"/>
        <w:jc w:val="both"/>
      </w:pPr>
    </w:p>
    <w:p w14:paraId="39376E6D" w14:textId="77777777" w:rsidR="002D3C02" w:rsidRPr="00AF0CED" w:rsidRDefault="002D3C02" w:rsidP="002D3C02">
      <w:pPr>
        <w:spacing w:line="360" w:lineRule="auto"/>
        <w:jc w:val="both"/>
      </w:pPr>
    </w:p>
    <w:p w14:paraId="1E9422D1" w14:textId="77777777" w:rsidR="002D3C02" w:rsidRPr="00AF0CED" w:rsidRDefault="002D3C02" w:rsidP="002D3C02">
      <w:pPr>
        <w:spacing w:line="360" w:lineRule="auto"/>
        <w:jc w:val="both"/>
      </w:pPr>
    </w:p>
    <w:p w14:paraId="34086FE3" w14:textId="77777777" w:rsidR="002D3C02" w:rsidRPr="00AF0CED" w:rsidRDefault="002D3C02" w:rsidP="002D3C02">
      <w:pPr>
        <w:spacing w:line="360" w:lineRule="auto"/>
        <w:jc w:val="both"/>
      </w:pPr>
    </w:p>
    <w:p w14:paraId="42B927A3" w14:textId="77777777" w:rsidR="002D3C02" w:rsidRPr="00AF0CED" w:rsidRDefault="002D3C02" w:rsidP="002D3C02">
      <w:pPr>
        <w:spacing w:line="360" w:lineRule="auto"/>
        <w:jc w:val="both"/>
      </w:pPr>
    </w:p>
    <w:p w14:paraId="54327FB1" w14:textId="77777777" w:rsidR="002D3C02" w:rsidRPr="00AF0CED" w:rsidRDefault="002D3C02" w:rsidP="002D3C02">
      <w:pPr>
        <w:spacing w:line="360" w:lineRule="auto"/>
        <w:jc w:val="both"/>
      </w:pPr>
    </w:p>
    <w:p w14:paraId="30597D39" w14:textId="77777777" w:rsidR="002D3C02" w:rsidRPr="00AF0CED" w:rsidRDefault="002D3C02" w:rsidP="002D3C02">
      <w:pPr>
        <w:tabs>
          <w:tab w:val="left" w:pos="7710"/>
        </w:tabs>
        <w:spacing w:line="360" w:lineRule="auto"/>
        <w:jc w:val="both"/>
        <w:rPr>
          <w:bCs/>
        </w:rPr>
      </w:pPr>
    </w:p>
    <w:p w14:paraId="7425B7F7" w14:textId="4EC705AB" w:rsidR="002D3C02" w:rsidRPr="00AF0CED" w:rsidRDefault="002D3C02" w:rsidP="002D3C02">
      <w:pPr>
        <w:tabs>
          <w:tab w:val="left" w:pos="7710"/>
        </w:tabs>
        <w:spacing w:line="360" w:lineRule="auto"/>
        <w:jc w:val="both"/>
        <w:rPr>
          <w:bCs/>
        </w:rPr>
      </w:pPr>
      <w:r>
        <w:rPr>
          <w:noProof/>
        </w:rPr>
        <w:lastRenderedPageBreak/>
        <w:drawing>
          <wp:inline distT="0" distB="0" distL="0" distR="0" wp14:anchorId="5D78D9E3" wp14:editId="59F95F39">
            <wp:extent cx="3424555" cy="2705735"/>
            <wp:effectExtent l="0" t="0" r="0" b="0"/>
            <wp:docPr id="18493342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4555" cy="2705735"/>
                    </a:xfrm>
                    <a:prstGeom prst="rect">
                      <a:avLst/>
                    </a:prstGeom>
                    <a:noFill/>
                    <a:ln>
                      <a:noFill/>
                    </a:ln>
                  </pic:spPr>
                </pic:pic>
              </a:graphicData>
            </a:graphic>
          </wp:inline>
        </w:drawing>
      </w:r>
    </w:p>
    <w:p w14:paraId="660F6AC6" w14:textId="77777777" w:rsidR="002D3C02" w:rsidRPr="00AF0CED" w:rsidRDefault="002D3C02" w:rsidP="002D3C02">
      <w:pPr>
        <w:tabs>
          <w:tab w:val="left" w:pos="7710"/>
        </w:tabs>
        <w:spacing w:line="360" w:lineRule="auto"/>
        <w:jc w:val="both"/>
        <w:rPr>
          <w:b/>
        </w:rPr>
      </w:pPr>
      <w:r w:rsidRPr="00AF0CED">
        <w:rPr>
          <w:b/>
        </w:rPr>
        <w:tab/>
      </w:r>
    </w:p>
    <w:p w14:paraId="78802B6E" w14:textId="747002B2" w:rsidR="002D3C02" w:rsidRPr="00AF0CED" w:rsidRDefault="002D3C02" w:rsidP="002D3C02">
      <w:pPr>
        <w:jc w:val="both"/>
      </w:pPr>
      <w:r w:rsidRPr="00AF0CED">
        <w:t xml:space="preserve">Figure 2. Percentage </w:t>
      </w:r>
      <w:r w:rsidR="0049555D">
        <w:t>i</w:t>
      </w:r>
      <w:r w:rsidRPr="00AF0CED">
        <w:t>nhibitory activity of</w:t>
      </w:r>
      <w:r w:rsidRPr="00AF0CED">
        <w:rPr>
          <w:lang w:val="en-GB"/>
        </w:rPr>
        <w:t xml:space="preserve"> plant extract </w:t>
      </w:r>
      <w:r w:rsidRPr="00AF0CED">
        <w:t>against porcine pancreatic lipase</w:t>
      </w:r>
      <w:r w:rsidR="0049555D">
        <w:t xml:space="preserve"> </w:t>
      </w:r>
      <w:r w:rsidR="0049555D" w:rsidRPr="00AF0CED">
        <w:t xml:space="preserve">at </w:t>
      </w:r>
      <w:r w:rsidR="0049555D" w:rsidRPr="004F490E">
        <w:t>5mg/ml</w:t>
      </w:r>
    </w:p>
    <w:p w14:paraId="680F24AD" w14:textId="77777777" w:rsidR="002D3C02" w:rsidRPr="00AF0CED" w:rsidRDefault="002D3C02" w:rsidP="002D3C02">
      <w:pPr>
        <w:jc w:val="both"/>
        <w:rPr>
          <w:sz w:val="20"/>
          <w:szCs w:val="20"/>
        </w:rPr>
      </w:pPr>
      <w:r w:rsidRPr="00AF0CED">
        <w:rPr>
          <w:sz w:val="20"/>
          <w:szCs w:val="20"/>
        </w:rPr>
        <w:t xml:space="preserve">OL- Orlistat, AD- </w:t>
      </w:r>
      <w:r w:rsidRPr="00AF0CED">
        <w:rPr>
          <w:i/>
          <w:iCs/>
          <w:sz w:val="20"/>
          <w:szCs w:val="20"/>
        </w:rPr>
        <w:t>Adansonia digitata</w:t>
      </w:r>
      <w:r w:rsidRPr="00AF0CED">
        <w:rPr>
          <w:sz w:val="20"/>
          <w:szCs w:val="20"/>
        </w:rPr>
        <w:t xml:space="preserve">, BV- </w:t>
      </w:r>
      <w:r w:rsidRPr="00AF0CED">
        <w:rPr>
          <w:i/>
          <w:iCs/>
          <w:sz w:val="20"/>
          <w:szCs w:val="20"/>
        </w:rPr>
        <w:t>Beta vulgaris</w:t>
      </w:r>
      <w:r w:rsidRPr="00AF0CED">
        <w:rPr>
          <w:sz w:val="20"/>
          <w:szCs w:val="20"/>
        </w:rPr>
        <w:t xml:space="preserve">, BO- </w:t>
      </w:r>
      <w:r w:rsidRPr="00AF0CED">
        <w:rPr>
          <w:i/>
          <w:iCs/>
          <w:sz w:val="20"/>
          <w:szCs w:val="20"/>
        </w:rPr>
        <w:t>Brassica oleracea</w:t>
      </w:r>
      <w:r w:rsidRPr="00AF0CED">
        <w:rPr>
          <w:sz w:val="20"/>
          <w:szCs w:val="20"/>
        </w:rPr>
        <w:t xml:space="preserve">, CD- </w:t>
      </w:r>
      <w:proofErr w:type="spellStart"/>
      <w:r w:rsidRPr="00AF0CED">
        <w:rPr>
          <w:i/>
          <w:iCs/>
          <w:sz w:val="20"/>
          <w:szCs w:val="20"/>
        </w:rPr>
        <w:t>Cynodon</w:t>
      </w:r>
      <w:proofErr w:type="spellEnd"/>
      <w:r w:rsidRPr="00AF0CED">
        <w:rPr>
          <w:i/>
          <w:iCs/>
          <w:sz w:val="20"/>
          <w:szCs w:val="20"/>
        </w:rPr>
        <w:t xml:space="preserve"> </w:t>
      </w:r>
      <w:proofErr w:type="spellStart"/>
      <w:r w:rsidRPr="00AF0CED">
        <w:rPr>
          <w:i/>
          <w:iCs/>
          <w:sz w:val="20"/>
          <w:szCs w:val="20"/>
        </w:rPr>
        <w:t>dactylon</w:t>
      </w:r>
      <w:proofErr w:type="spellEnd"/>
      <w:r w:rsidRPr="00AF0CED">
        <w:rPr>
          <w:sz w:val="20"/>
          <w:szCs w:val="20"/>
        </w:rPr>
        <w:t xml:space="preserve">, DT- </w:t>
      </w:r>
      <w:proofErr w:type="spellStart"/>
      <w:r w:rsidRPr="00AF0CED">
        <w:rPr>
          <w:i/>
          <w:iCs/>
          <w:sz w:val="20"/>
          <w:szCs w:val="20"/>
        </w:rPr>
        <w:t>Dennettia</w:t>
      </w:r>
      <w:proofErr w:type="spellEnd"/>
      <w:r w:rsidRPr="00AF0CED">
        <w:rPr>
          <w:i/>
          <w:iCs/>
          <w:sz w:val="20"/>
          <w:szCs w:val="20"/>
        </w:rPr>
        <w:t xml:space="preserve"> </w:t>
      </w:r>
      <w:proofErr w:type="spellStart"/>
      <w:r w:rsidRPr="00AF0CED">
        <w:rPr>
          <w:i/>
          <w:iCs/>
          <w:sz w:val="20"/>
          <w:szCs w:val="20"/>
        </w:rPr>
        <w:t>tripetala</w:t>
      </w:r>
      <w:proofErr w:type="spellEnd"/>
      <w:r w:rsidRPr="00AF0CED">
        <w:rPr>
          <w:sz w:val="20"/>
          <w:szCs w:val="20"/>
        </w:rPr>
        <w:t xml:space="preserve">, LA- </w:t>
      </w:r>
      <w:r w:rsidRPr="00AF0CED">
        <w:rPr>
          <w:i/>
          <w:iCs/>
          <w:sz w:val="20"/>
          <w:szCs w:val="20"/>
        </w:rPr>
        <w:t xml:space="preserve">Luffa </w:t>
      </w:r>
      <w:proofErr w:type="spellStart"/>
      <w:r w:rsidRPr="00AF0CED">
        <w:rPr>
          <w:i/>
          <w:iCs/>
          <w:sz w:val="20"/>
          <w:szCs w:val="20"/>
        </w:rPr>
        <w:t>aegyptiaca</w:t>
      </w:r>
      <w:proofErr w:type="spellEnd"/>
      <w:r w:rsidRPr="00AF0CED">
        <w:rPr>
          <w:sz w:val="20"/>
          <w:szCs w:val="20"/>
        </w:rPr>
        <w:t xml:space="preserve">, OG- </w:t>
      </w:r>
      <w:proofErr w:type="spellStart"/>
      <w:r w:rsidRPr="00AF0CED">
        <w:rPr>
          <w:i/>
          <w:iCs/>
          <w:sz w:val="20"/>
          <w:szCs w:val="20"/>
        </w:rPr>
        <w:t>Ocimum</w:t>
      </w:r>
      <w:proofErr w:type="spellEnd"/>
      <w:r w:rsidRPr="00AF0CED">
        <w:rPr>
          <w:i/>
          <w:iCs/>
          <w:sz w:val="20"/>
          <w:szCs w:val="20"/>
        </w:rPr>
        <w:t xml:space="preserve"> </w:t>
      </w:r>
      <w:proofErr w:type="spellStart"/>
      <w:r w:rsidRPr="00AF0CED">
        <w:rPr>
          <w:i/>
          <w:iCs/>
          <w:sz w:val="20"/>
          <w:szCs w:val="20"/>
        </w:rPr>
        <w:t>gratissimum</w:t>
      </w:r>
      <w:proofErr w:type="spellEnd"/>
      <w:r w:rsidRPr="00AF0CED">
        <w:rPr>
          <w:sz w:val="20"/>
          <w:szCs w:val="20"/>
        </w:rPr>
        <w:t xml:space="preserve">, VS- </w:t>
      </w:r>
      <w:r w:rsidRPr="00AF0CED">
        <w:rPr>
          <w:i/>
          <w:iCs/>
          <w:sz w:val="20"/>
          <w:szCs w:val="20"/>
        </w:rPr>
        <w:t xml:space="preserve">Vigna </w:t>
      </w:r>
      <w:proofErr w:type="spellStart"/>
      <w:r w:rsidRPr="00AF0CED">
        <w:rPr>
          <w:i/>
          <w:iCs/>
          <w:sz w:val="20"/>
          <w:szCs w:val="20"/>
        </w:rPr>
        <w:t>subterranea</w:t>
      </w:r>
      <w:proofErr w:type="spellEnd"/>
    </w:p>
    <w:p w14:paraId="27FEFBA8" w14:textId="77777777" w:rsidR="002D3C02" w:rsidRPr="00AF0CED" w:rsidRDefault="002D3C02" w:rsidP="002D3C02">
      <w:pPr>
        <w:spacing w:line="480" w:lineRule="auto"/>
        <w:jc w:val="both"/>
        <w:rPr>
          <w:b/>
          <w:bCs/>
        </w:rPr>
      </w:pPr>
    </w:p>
    <w:p w14:paraId="7C092AB4" w14:textId="77777777" w:rsidR="002D3C02" w:rsidRPr="00AF0CED" w:rsidRDefault="002D3C02" w:rsidP="002D3C02">
      <w:pPr>
        <w:spacing w:line="480" w:lineRule="auto"/>
        <w:jc w:val="both"/>
        <w:rPr>
          <w:b/>
          <w:bCs/>
        </w:rPr>
      </w:pPr>
    </w:p>
    <w:p w14:paraId="06B830F5" w14:textId="77777777" w:rsidR="002D3C02" w:rsidRPr="00AF0CED" w:rsidRDefault="002D3C02" w:rsidP="002D3C02">
      <w:pPr>
        <w:spacing w:line="480" w:lineRule="auto"/>
        <w:jc w:val="both"/>
        <w:rPr>
          <w:bCs/>
        </w:rPr>
      </w:pPr>
    </w:p>
    <w:p w14:paraId="633ADA54" w14:textId="61CB6F3F" w:rsidR="002D3C02" w:rsidRPr="00AF0CED" w:rsidRDefault="0049555D" w:rsidP="002D3C02">
      <w:pPr>
        <w:spacing w:line="480" w:lineRule="auto"/>
        <w:jc w:val="both"/>
      </w:pPr>
      <w:r>
        <w:object w:dxaOrig="5330" w:dyaOrig="4309" w14:anchorId="36C29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4pt;height:215.4pt" o:ole="">
            <v:imagedata r:id="rId7" o:title=""/>
          </v:shape>
          <o:OLEObject Type="Embed" ProgID="Prism5.Document" ShapeID="_x0000_i1025" DrawAspect="Content" ObjectID="_1822234027" r:id="rId8"/>
        </w:object>
      </w:r>
    </w:p>
    <w:p w14:paraId="63D6B29D" w14:textId="0EBC39C9" w:rsidR="002D3C02" w:rsidRPr="00AF0CED" w:rsidRDefault="002D3C02" w:rsidP="002D3C02">
      <w:pPr>
        <w:jc w:val="both"/>
        <w:rPr>
          <w:b/>
          <w:bCs/>
        </w:rPr>
      </w:pPr>
      <w:r w:rsidRPr="00AF0CED">
        <w:t xml:space="preserve">Figure 3. Percentage inhibition </w:t>
      </w:r>
      <w:bookmarkStart w:id="5" w:name="_Hlk162628910"/>
      <w:r w:rsidRPr="00AF0CED">
        <w:t xml:space="preserve">of fractions of </w:t>
      </w:r>
      <w:r w:rsidRPr="00AF0CED">
        <w:rPr>
          <w:i/>
        </w:rPr>
        <w:t xml:space="preserve">O. </w:t>
      </w:r>
      <w:proofErr w:type="spellStart"/>
      <w:r w:rsidRPr="00AF0CED">
        <w:rPr>
          <w:i/>
        </w:rPr>
        <w:t>gratissimum</w:t>
      </w:r>
      <w:proofErr w:type="spellEnd"/>
      <w:r w:rsidRPr="00AF0CED">
        <w:t xml:space="preserve"> and </w:t>
      </w:r>
      <w:r w:rsidRPr="00AF0CED">
        <w:rPr>
          <w:bCs/>
          <w:i/>
        </w:rPr>
        <w:t>V. subterranea</w:t>
      </w:r>
      <w:bookmarkEnd w:id="5"/>
      <w:r w:rsidRPr="00AF0CED">
        <w:rPr>
          <w:bCs/>
        </w:rPr>
        <w:t xml:space="preserve"> </w:t>
      </w:r>
      <w:r w:rsidRPr="00AF0CED">
        <w:t xml:space="preserve">against alpha-amylase at </w:t>
      </w:r>
      <w:r w:rsidR="0049555D">
        <w:t>1</w:t>
      </w:r>
      <w:r w:rsidRPr="00AF0CED">
        <w:t xml:space="preserve">mg/ml. Hex- n-Hexane, But- n-Butanol, Eta- Ethyl acetate, </w:t>
      </w:r>
      <w:proofErr w:type="spellStart"/>
      <w:r w:rsidRPr="00AF0CED">
        <w:t>Aqu</w:t>
      </w:r>
      <w:proofErr w:type="spellEnd"/>
      <w:r w:rsidRPr="00AF0CED">
        <w:t>- Aqueous.</w:t>
      </w:r>
    </w:p>
    <w:p w14:paraId="3E8F12AB" w14:textId="77777777" w:rsidR="002D3C02" w:rsidRPr="00AF0CED" w:rsidRDefault="002D3C02" w:rsidP="002D3C02">
      <w:pPr>
        <w:spacing w:line="480" w:lineRule="auto"/>
        <w:jc w:val="both"/>
        <w:rPr>
          <w:bCs/>
          <w:lang w:val="en-GB"/>
        </w:rPr>
      </w:pPr>
    </w:p>
    <w:p w14:paraId="11CBF79A" w14:textId="442D01A1" w:rsidR="002D3C02" w:rsidRPr="00AF0CED" w:rsidRDefault="0049555D" w:rsidP="002D3C02">
      <w:pPr>
        <w:spacing w:line="480" w:lineRule="auto"/>
        <w:jc w:val="both"/>
        <w:rPr>
          <w:bCs/>
          <w:lang w:val="en-GB"/>
        </w:rPr>
      </w:pPr>
      <w:r>
        <w:object w:dxaOrig="5386" w:dyaOrig="4309" w14:anchorId="4C9D28A4">
          <v:shape id="_x0000_i1026" type="#_x0000_t75" style="width:269.4pt;height:215.4pt" o:ole="">
            <v:imagedata r:id="rId9" o:title=""/>
          </v:shape>
          <o:OLEObject Type="Embed" ProgID="Prism5.Document" ShapeID="_x0000_i1026" DrawAspect="Content" ObjectID="_1822234028" r:id="rId10"/>
        </w:object>
      </w:r>
    </w:p>
    <w:p w14:paraId="58E67B60" w14:textId="76FBA910" w:rsidR="002D3C02" w:rsidRPr="00AF0CED" w:rsidRDefault="002D3C02" w:rsidP="002D3C02">
      <w:pPr>
        <w:jc w:val="both"/>
        <w:rPr>
          <w:lang w:val="en-GB"/>
        </w:rPr>
      </w:pPr>
      <w:r w:rsidRPr="00AF0CED">
        <w:rPr>
          <w:bCs/>
          <w:lang w:val="en-GB"/>
        </w:rPr>
        <w:t xml:space="preserve">Figure 4. </w:t>
      </w:r>
      <w:r w:rsidRPr="00AF0CED">
        <w:rPr>
          <w:lang w:val="en-GB"/>
        </w:rPr>
        <w:t xml:space="preserve">Percentage inhibition </w:t>
      </w:r>
      <w:r w:rsidRPr="00AF0CED">
        <w:t xml:space="preserve">of fractions of </w:t>
      </w:r>
      <w:r w:rsidRPr="00AF0CED">
        <w:rPr>
          <w:i/>
        </w:rPr>
        <w:t xml:space="preserve">O. </w:t>
      </w:r>
      <w:proofErr w:type="spellStart"/>
      <w:r w:rsidRPr="00AF0CED">
        <w:rPr>
          <w:i/>
        </w:rPr>
        <w:t>gratissimum</w:t>
      </w:r>
      <w:proofErr w:type="spellEnd"/>
      <w:r w:rsidRPr="00AF0CED">
        <w:t xml:space="preserve"> and </w:t>
      </w:r>
      <w:r w:rsidRPr="00AF0CED">
        <w:rPr>
          <w:bCs/>
          <w:i/>
        </w:rPr>
        <w:t>V. subterranea</w:t>
      </w:r>
      <w:r w:rsidRPr="00AF0CED">
        <w:rPr>
          <w:lang w:val="en-GB"/>
        </w:rPr>
        <w:t xml:space="preserve"> against porcine pancreatic lipase at </w:t>
      </w:r>
      <w:r w:rsidR="0049555D">
        <w:rPr>
          <w:lang w:val="en-GB"/>
        </w:rPr>
        <w:t>1</w:t>
      </w:r>
      <w:r w:rsidRPr="00AF0CED">
        <w:rPr>
          <w:lang w:val="en-GB"/>
        </w:rPr>
        <w:t xml:space="preserve"> </w:t>
      </w:r>
      <w:r w:rsidRPr="00AF0CED">
        <w:t xml:space="preserve">mg/ml. Hex- n-Hexane, But- n-Butanol, Eta- Ethyl acetate, </w:t>
      </w:r>
      <w:proofErr w:type="spellStart"/>
      <w:r w:rsidRPr="00AF0CED">
        <w:t>Aqu</w:t>
      </w:r>
      <w:proofErr w:type="spellEnd"/>
      <w:r w:rsidRPr="00AF0CED">
        <w:t>- Aqueous.</w:t>
      </w:r>
      <w:r w:rsidRPr="00AF0CED">
        <w:rPr>
          <w:lang w:val="en-GB"/>
        </w:rPr>
        <w:t xml:space="preserve"> </w:t>
      </w:r>
    </w:p>
    <w:p w14:paraId="1D180711" w14:textId="77777777" w:rsidR="002D3C02" w:rsidRPr="00AF0CED" w:rsidRDefault="002D3C02" w:rsidP="002D3C02">
      <w:pPr>
        <w:spacing w:line="480" w:lineRule="auto"/>
        <w:jc w:val="both"/>
        <w:rPr>
          <w:lang w:val="en-GB"/>
        </w:rPr>
      </w:pPr>
    </w:p>
    <w:p w14:paraId="3DD3CDF3" w14:textId="77777777" w:rsidR="002D3C02" w:rsidRPr="00AF0CED" w:rsidRDefault="002D3C02" w:rsidP="002D3C02">
      <w:pPr>
        <w:spacing w:line="480" w:lineRule="auto"/>
        <w:jc w:val="both"/>
        <w:rPr>
          <w:lang w:val="en-GB"/>
        </w:rPr>
      </w:pPr>
    </w:p>
    <w:p w14:paraId="0190B4A7" w14:textId="77777777" w:rsidR="002D3C02" w:rsidRPr="00AF0CED" w:rsidRDefault="002D3C02" w:rsidP="002D3C02">
      <w:pPr>
        <w:spacing w:line="480" w:lineRule="auto"/>
        <w:jc w:val="both"/>
        <w:rPr>
          <w:lang w:val="en-GB"/>
        </w:rPr>
      </w:pPr>
    </w:p>
    <w:p w14:paraId="276F2830" w14:textId="77777777" w:rsidR="002D3C02" w:rsidRPr="00AF0CED" w:rsidRDefault="002D3C02" w:rsidP="002D3C02">
      <w:pPr>
        <w:spacing w:line="480" w:lineRule="auto"/>
        <w:jc w:val="both"/>
        <w:rPr>
          <w:b/>
          <w:bCs/>
        </w:rPr>
      </w:pPr>
    </w:p>
    <w:p w14:paraId="6E6571C8" w14:textId="77777777" w:rsidR="002D3C02" w:rsidRPr="00AF0CED" w:rsidRDefault="002D3C02" w:rsidP="002D3C02">
      <w:pPr>
        <w:spacing w:line="480" w:lineRule="auto"/>
        <w:jc w:val="both"/>
        <w:rPr>
          <w:b/>
        </w:rPr>
      </w:pPr>
      <w:r w:rsidRPr="00AF0CED">
        <w:rPr>
          <w:b/>
        </w:rPr>
        <w:t xml:space="preserve">Table </w:t>
      </w:r>
      <w:bookmarkStart w:id="6" w:name="OLE_LINK2"/>
      <w:r w:rsidRPr="00AF0CED">
        <w:rPr>
          <w:b/>
        </w:rPr>
        <w:t xml:space="preserve">1. </w:t>
      </w:r>
      <w:r w:rsidRPr="00AF0CED">
        <w:t>IC</w:t>
      </w:r>
      <w:r w:rsidRPr="00AF0CED">
        <w:rPr>
          <w:vertAlign w:val="subscript"/>
        </w:rPr>
        <w:t>50</w:t>
      </w:r>
      <w:r w:rsidRPr="00AF0CED">
        <w:t xml:space="preserve"> values of plant extract and fractions against α-amylase and lipase activities</w:t>
      </w:r>
    </w:p>
    <w:p w14:paraId="44CB01C6" w14:textId="77777777" w:rsidR="002D3C02" w:rsidRPr="00AF0CED" w:rsidRDefault="002D3C02" w:rsidP="002D3C02">
      <w:pPr>
        <w:rPr>
          <w:sz w:val="20"/>
          <w:szCs w:val="20"/>
        </w:rPr>
      </w:pPr>
    </w:p>
    <w:tbl>
      <w:tblPr>
        <w:tblStyle w:val="ListTable6Colorful"/>
        <w:tblW w:w="0" w:type="auto"/>
        <w:tblLook w:val="06A0" w:firstRow="1" w:lastRow="0" w:firstColumn="1" w:lastColumn="0" w:noHBand="1" w:noVBand="1"/>
      </w:tblPr>
      <w:tblGrid>
        <w:gridCol w:w="2972"/>
        <w:gridCol w:w="2126"/>
        <w:gridCol w:w="1985"/>
        <w:gridCol w:w="1933"/>
      </w:tblGrid>
      <w:tr w:rsidR="002D3C02" w:rsidRPr="00AF0CED" w14:paraId="1D54D634" w14:textId="77777777" w:rsidTr="00573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B0FF1C1" w14:textId="77777777" w:rsidR="002D3C02" w:rsidRPr="00AF0CED" w:rsidRDefault="002D3C02" w:rsidP="00573324">
            <w:pPr>
              <w:spacing w:line="276" w:lineRule="auto"/>
              <w:rPr>
                <w:color w:val="auto"/>
              </w:rPr>
            </w:pPr>
            <w:r w:rsidRPr="00AF0CED">
              <w:rPr>
                <w:color w:val="auto"/>
              </w:rPr>
              <w:t>Plants</w:t>
            </w:r>
          </w:p>
        </w:tc>
        <w:tc>
          <w:tcPr>
            <w:tcW w:w="2126" w:type="dxa"/>
          </w:tcPr>
          <w:p w14:paraId="6DBA575F" w14:textId="77777777" w:rsidR="002D3C02" w:rsidRPr="00AF0CED" w:rsidRDefault="002D3C02" w:rsidP="00573324">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AF0CED">
              <w:rPr>
                <w:color w:val="auto"/>
              </w:rPr>
              <w:t>Extract/fraction</w:t>
            </w:r>
          </w:p>
        </w:tc>
        <w:tc>
          <w:tcPr>
            <w:tcW w:w="1985" w:type="dxa"/>
          </w:tcPr>
          <w:p w14:paraId="20B6C4AF" w14:textId="77777777" w:rsidR="002D3C02" w:rsidRPr="00AF0CED" w:rsidRDefault="002D3C02" w:rsidP="00573324">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AF0CED">
              <w:rPr>
                <w:color w:val="auto"/>
              </w:rPr>
              <w:t>Pancreatic lipase IC</w:t>
            </w:r>
            <w:r w:rsidRPr="00AF0CED">
              <w:rPr>
                <w:color w:val="auto"/>
                <w:vertAlign w:val="subscript"/>
              </w:rPr>
              <w:t xml:space="preserve">50 </w:t>
            </w:r>
            <w:r w:rsidRPr="00AF0CED">
              <w:rPr>
                <w:color w:val="auto"/>
              </w:rPr>
              <w:t>(µg/mL)</w:t>
            </w:r>
          </w:p>
        </w:tc>
        <w:tc>
          <w:tcPr>
            <w:tcW w:w="1933" w:type="dxa"/>
          </w:tcPr>
          <w:p w14:paraId="1EA43A14" w14:textId="77777777" w:rsidR="002D3C02" w:rsidRPr="00AF0CED" w:rsidRDefault="002D3C02" w:rsidP="00573324">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AF0CED">
              <w:rPr>
                <w:color w:val="auto"/>
              </w:rPr>
              <w:t>α-amylase IC</w:t>
            </w:r>
            <w:r w:rsidRPr="00AF0CED">
              <w:rPr>
                <w:color w:val="auto"/>
                <w:vertAlign w:val="subscript"/>
              </w:rPr>
              <w:t xml:space="preserve">50 </w:t>
            </w:r>
            <w:r w:rsidRPr="00AF0CED">
              <w:rPr>
                <w:color w:val="auto"/>
              </w:rPr>
              <w:t>(</w:t>
            </w:r>
            <w:bookmarkStart w:id="7" w:name="_Hlk202526905"/>
            <w:r w:rsidRPr="00AF0CED">
              <w:rPr>
                <w:color w:val="auto"/>
              </w:rPr>
              <w:t>µg/mL</w:t>
            </w:r>
            <w:bookmarkEnd w:id="7"/>
            <w:r w:rsidRPr="00AF0CED">
              <w:rPr>
                <w:color w:val="auto"/>
              </w:rPr>
              <w:t>)</w:t>
            </w:r>
          </w:p>
        </w:tc>
      </w:tr>
      <w:tr w:rsidR="002D3C02" w:rsidRPr="00AF0CED" w14:paraId="2188861B"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5AAA4090" w14:textId="77777777" w:rsidR="002D3C02" w:rsidRPr="00AF0CED" w:rsidRDefault="002D3C02" w:rsidP="00573324">
            <w:pPr>
              <w:spacing w:line="276" w:lineRule="auto"/>
              <w:rPr>
                <w:b w:val="0"/>
                <w:bCs w:val="0"/>
                <w:color w:val="auto"/>
              </w:rPr>
            </w:pPr>
            <w:r w:rsidRPr="00AF0CED">
              <w:rPr>
                <w:b w:val="0"/>
                <w:bCs w:val="0"/>
                <w:color w:val="auto"/>
              </w:rPr>
              <w:t xml:space="preserve">AD- </w:t>
            </w:r>
            <w:r w:rsidRPr="00AF0CED">
              <w:rPr>
                <w:b w:val="0"/>
                <w:bCs w:val="0"/>
                <w:i/>
                <w:iCs/>
                <w:color w:val="auto"/>
              </w:rPr>
              <w:t>Adansonia digitata</w:t>
            </w:r>
          </w:p>
        </w:tc>
        <w:tc>
          <w:tcPr>
            <w:tcW w:w="2126" w:type="dxa"/>
          </w:tcPr>
          <w:p w14:paraId="507BAC94"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3398828F"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78.45 ± 0.33</w:t>
            </w:r>
          </w:p>
        </w:tc>
        <w:tc>
          <w:tcPr>
            <w:tcW w:w="1933" w:type="dxa"/>
          </w:tcPr>
          <w:p w14:paraId="7CD564CA"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r>
      <w:tr w:rsidR="002D3C02" w:rsidRPr="00AF0CED" w14:paraId="32553091"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0D8D82DE" w14:textId="77777777" w:rsidR="002D3C02" w:rsidRPr="00AF0CED" w:rsidRDefault="002D3C02" w:rsidP="00573324">
            <w:pPr>
              <w:spacing w:line="276" w:lineRule="auto"/>
              <w:rPr>
                <w:b w:val="0"/>
                <w:bCs w:val="0"/>
                <w:color w:val="auto"/>
              </w:rPr>
            </w:pPr>
            <w:r w:rsidRPr="00AF0CED">
              <w:rPr>
                <w:b w:val="0"/>
                <w:bCs w:val="0"/>
                <w:color w:val="auto"/>
              </w:rPr>
              <w:t xml:space="preserve">BV- </w:t>
            </w:r>
            <w:r w:rsidRPr="00AF0CED">
              <w:rPr>
                <w:b w:val="0"/>
                <w:bCs w:val="0"/>
                <w:i/>
                <w:iCs/>
                <w:color w:val="auto"/>
              </w:rPr>
              <w:t>Beta vulgaris</w:t>
            </w:r>
          </w:p>
        </w:tc>
        <w:tc>
          <w:tcPr>
            <w:tcW w:w="2126" w:type="dxa"/>
          </w:tcPr>
          <w:p w14:paraId="08E235F3"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693C60B3"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c>
          <w:tcPr>
            <w:tcW w:w="1933" w:type="dxa"/>
          </w:tcPr>
          <w:p w14:paraId="4C56A06C"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bookmarkStart w:id="8" w:name="_Hlk202527182"/>
            <w:r w:rsidRPr="00AF0CED">
              <w:rPr>
                <w:color w:val="auto"/>
              </w:rPr>
              <w:t>262.3 ± 0.09</w:t>
            </w:r>
            <w:bookmarkEnd w:id="8"/>
          </w:p>
        </w:tc>
      </w:tr>
      <w:tr w:rsidR="002D3C02" w:rsidRPr="00AF0CED" w14:paraId="0639123E"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093502A5" w14:textId="77777777" w:rsidR="002D3C02" w:rsidRPr="00AF0CED" w:rsidRDefault="002D3C02" w:rsidP="00573324">
            <w:pPr>
              <w:spacing w:line="276" w:lineRule="auto"/>
              <w:rPr>
                <w:b w:val="0"/>
                <w:bCs w:val="0"/>
                <w:color w:val="auto"/>
              </w:rPr>
            </w:pPr>
            <w:r w:rsidRPr="00AF0CED">
              <w:rPr>
                <w:b w:val="0"/>
                <w:bCs w:val="0"/>
                <w:color w:val="auto"/>
              </w:rPr>
              <w:t xml:space="preserve">BO- </w:t>
            </w:r>
            <w:r w:rsidRPr="00AF0CED">
              <w:rPr>
                <w:b w:val="0"/>
                <w:bCs w:val="0"/>
                <w:i/>
                <w:iCs/>
                <w:color w:val="auto"/>
              </w:rPr>
              <w:t>Brassica oleracea</w:t>
            </w:r>
          </w:p>
        </w:tc>
        <w:tc>
          <w:tcPr>
            <w:tcW w:w="2126" w:type="dxa"/>
          </w:tcPr>
          <w:p w14:paraId="51B330DB"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6266353F"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84.70 ± 0.25</w:t>
            </w:r>
          </w:p>
        </w:tc>
        <w:tc>
          <w:tcPr>
            <w:tcW w:w="1933" w:type="dxa"/>
          </w:tcPr>
          <w:p w14:paraId="06159D1D"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r>
      <w:tr w:rsidR="002D3C02" w:rsidRPr="00AF0CED" w14:paraId="1FE4F13F"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567D8A8C" w14:textId="77777777" w:rsidR="002D3C02" w:rsidRPr="00AF0CED" w:rsidRDefault="002D3C02" w:rsidP="00573324">
            <w:pPr>
              <w:spacing w:line="276" w:lineRule="auto"/>
              <w:rPr>
                <w:b w:val="0"/>
                <w:bCs w:val="0"/>
                <w:color w:val="auto"/>
              </w:rPr>
            </w:pPr>
            <w:r w:rsidRPr="00AF0CED">
              <w:rPr>
                <w:b w:val="0"/>
                <w:bCs w:val="0"/>
                <w:color w:val="auto"/>
              </w:rPr>
              <w:t xml:space="preserve">CD- </w:t>
            </w:r>
            <w:proofErr w:type="spellStart"/>
            <w:r w:rsidRPr="00AF0CED">
              <w:rPr>
                <w:b w:val="0"/>
                <w:bCs w:val="0"/>
                <w:i/>
                <w:iCs/>
                <w:color w:val="auto"/>
              </w:rPr>
              <w:t>Cynodon</w:t>
            </w:r>
            <w:proofErr w:type="spellEnd"/>
            <w:r w:rsidRPr="00AF0CED">
              <w:rPr>
                <w:b w:val="0"/>
                <w:bCs w:val="0"/>
                <w:i/>
                <w:iCs/>
                <w:color w:val="auto"/>
              </w:rPr>
              <w:t xml:space="preserve"> </w:t>
            </w:r>
            <w:proofErr w:type="spellStart"/>
            <w:r w:rsidRPr="00AF0CED">
              <w:rPr>
                <w:b w:val="0"/>
                <w:bCs w:val="0"/>
                <w:i/>
                <w:iCs/>
                <w:color w:val="auto"/>
              </w:rPr>
              <w:t>dactylon</w:t>
            </w:r>
            <w:proofErr w:type="spellEnd"/>
            <w:r w:rsidRPr="00AF0CED">
              <w:rPr>
                <w:b w:val="0"/>
                <w:bCs w:val="0"/>
                <w:color w:val="auto"/>
              </w:rPr>
              <w:t xml:space="preserve"> </w:t>
            </w:r>
          </w:p>
        </w:tc>
        <w:tc>
          <w:tcPr>
            <w:tcW w:w="2126" w:type="dxa"/>
          </w:tcPr>
          <w:p w14:paraId="2938F547"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09266529"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c>
          <w:tcPr>
            <w:tcW w:w="1933" w:type="dxa"/>
          </w:tcPr>
          <w:p w14:paraId="21038A7F"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bookmarkStart w:id="9" w:name="_Hlk202527284"/>
            <w:r w:rsidRPr="00AF0CED">
              <w:rPr>
                <w:color w:val="auto"/>
              </w:rPr>
              <w:t>216 ± 0.15</w:t>
            </w:r>
            <w:bookmarkEnd w:id="9"/>
          </w:p>
        </w:tc>
      </w:tr>
      <w:tr w:rsidR="002D3C02" w:rsidRPr="00AF0CED" w14:paraId="0D5AE4D8"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2D07BFD3" w14:textId="77777777" w:rsidR="002D3C02" w:rsidRPr="00AF0CED" w:rsidRDefault="002D3C02" w:rsidP="00573324">
            <w:pPr>
              <w:spacing w:line="276" w:lineRule="auto"/>
              <w:rPr>
                <w:b w:val="0"/>
                <w:bCs w:val="0"/>
                <w:color w:val="auto"/>
              </w:rPr>
            </w:pPr>
            <w:r w:rsidRPr="00AF0CED">
              <w:rPr>
                <w:b w:val="0"/>
                <w:bCs w:val="0"/>
                <w:color w:val="auto"/>
              </w:rPr>
              <w:t xml:space="preserve">DT- </w:t>
            </w:r>
            <w:proofErr w:type="spellStart"/>
            <w:r w:rsidRPr="00AF0CED">
              <w:rPr>
                <w:b w:val="0"/>
                <w:bCs w:val="0"/>
                <w:i/>
                <w:iCs/>
                <w:color w:val="auto"/>
              </w:rPr>
              <w:t>Dennettia</w:t>
            </w:r>
            <w:proofErr w:type="spellEnd"/>
            <w:r w:rsidRPr="00AF0CED">
              <w:rPr>
                <w:b w:val="0"/>
                <w:bCs w:val="0"/>
                <w:i/>
                <w:iCs/>
                <w:color w:val="auto"/>
              </w:rPr>
              <w:t xml:space="preserve"> </w:t>
            </w:r>
            <w:proofErr w:type="spellStart"/>
            <w:r w:rsidRPr="00AF0CED">
              <w:rPr>
                <w:b w:val="0"/>
                <w:bCs w:val="0"/>
                <w:i/>
                <w:iCs/>
                <w:color w:val="auto"/>
              </w:rPr>
              <w:t>tripetala</w:t>
            </w:r>
            <w:proofErr w:type="spellEnd"/>
            <w:r w:rsidRPr="00AF0CED">
              <w:rPr>
                <w:b w:val="0"/>
                <w:bCs w:val="0"/>
                <w:color w:val="auto"/>
              </w:rPr>
              <w:t xml:space="preserve"> </w:t>
            </w:r>
          </w:p>
        </w:tc>
        <w:tc>
          <w:tcPr>
            <w:tcW w:w="2126" w:type="dxa"/>
          </w:tcPr>
          <w:p w14:paraId="1D56D580"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27494CCB"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c>
          <w:tcPr>
            <w:tcW w:w="1933" w:type="dxa"/>
          </w:tcPr>
          <w:p w14:paraId="4213D18D"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r>
      <w:tr w:rsidR="002D3C02" w:rsidRPr="00AF0CED" w14:paraId="7B30229E"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7309E50B" w14:textId="77777777" w:rsidR="002D3C02" w:rsidRPr="00AF0CED" w:rsidRDefault="002D3C02" w:rsidP="00573324">
            <w:pPr>
              <w:spacing w:line="276" w:lineRule="auto"/>
              <w:rPr>
                <w:b w:val="0"/>
                <w:bCs w:val="0"/>
                <w:color w:val="auto"/>
              </w:rPr>
            </w:pPr>
            <w:r w:rsidRPr="00AF0CED">
              <w:rPr>
                <w:b w:val="0"/>
                <w:bCs w:val="0"/>
                <w:color w:val="auto"/>
              </w:rPr>
              <w:t xml:space="preserve">LA- </w:t>
            </w:r>
            <w:r w:rsidRPr="00AF0CED">
              <w:rPr>
                <w:b w:val="0"/>
                <w:bCs w:val="0"/>
                <w:i/>
                <w:iCs/>
                <w:color w:val="auto"/>
              </w:rPr>
              <w:t>Luffa aegyptiaca</w:t>
            </w:r>
          </w:p>
        </w:tc>
        <w:tc>
          <w:tcPr>
            <w:tcW w:w="2126" w:type="dxa"/>
          </w:tcPr>
          <w:p w14:paraId="5DA4C823"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159ECB59"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c>
          <w:tcPr>
            <w:tcW w:w="1933" w:type="dxa"/>
          </w:tcPr>
          <w:p w14:paraId="07EBC6A3"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bookmarkStart w:id="10" w:name="_Hlk202526888"/>
            <w:r w:rsidRPr="00AF0CED">
              <w:rPr>
                <w:color w:val="auto"/>
                <w:lang w:val="en-GB"/>
              </w:rPr>
              <w:t>113 ± 0.14</w:t>
            </w:r>
            <w:bookmarkEnd w:id="10"/>
          </w:p>
        </w:tc>
      </w:tr>
      <w:tr w:rsidR="002D3C02" w:rsidRPr="00AF0CED" w14:paraId="5CEC4C21" w14:textId="77777777" w:rsidTr="00573324">
        <w:tc>
          <w:tcPr>
            <w:cnfStyle w:val="001000000000" w:firstRow="0" w:lastRow="0" w:firstColumn="1" w:lastColumn="0" w:oddVBand="0" w:evenVBand="0" w:oddHBand="0" w:evenHBand="0" w:firstRowFirstColumn="0" w:firstRowLastColumn="0" w:lastRowFirstColumn="0" w:lastRowLastColumn="0"/>
            <w:tcW w:w="2972" w:type="dxa"/>
            <w:vMerge w:val="restart"/>
          </w:tcPr>
          <w:p w14:paraId="00AD0B93" w14:textId="77777777" w:rsidR="002D3C02" w:rsidRPr="00AF0CED" w:rsidRDefault="002D3C02" w:rsidP="00573324">
            <w:pPr>
              <w:spacing w:line="276" w:lineRule="auto"/>
              <w:rPr>
                <w:b w:val="0"/>
                <w:bCs w:val="0"/>
                <w:color w:val="auto"/>
              </w:rPr>
            </w:pPr>
            <w:r w:rsidRPr="00AF0CED">
              <w:rPr>
                <w:b w:val="0"/>
                <w:bCs w:val="0"/>
                <w:color w:val="auto"/>
              </w:rPr>
              <w:t xml:space="preserve">OG- </w:t>
            </w:r>
            <w:proofErr w:type="spellStart"/>
            <w:r w:rsidRPr="00AF0CED">
              <w:rPr>
                <w:b w:val="0"/>
                <w:bCs w:val="0"/>
                <w:i/>
                <w:iCs/>
                <w:color w:val="auto"/>
              </w:rPr>
              <w:t>Ocimum</w:t>
            </w:r>
            <w:proofErr w:type="spellEnd"/>
            <w:r w:rsidRPr="00AF0CED">
              <w:rPr>
                <w:b w:val="0"/>
                <w:bCs w:val="0"/>
                <w:i/>
                <w:iCs/>
                <w:color w:val="auto"/>
              </w:rPr>
              <w:t xml:space="preserve"> </w:t>
            </w:r>
            <w:proofErr w:type="spellStart"/>
            <w:r w:rsidRPr="00AF0CED">
              <w:rPr>
                <w:b w:val="0"/>
                <w:bCs w:val="0"/>
                <w:i/>
                <w:iCs/>
                <w:color w:val="auto"/>
              </w:rPr>
              <w:t>gratissimum</w:t>
            </w:r>
            <w:proofErr w:type="spellEnd"/>
          </w:p>
        </w:tc>
        <w:tc>
          <w:tcPr>
            <w:tcW w:w="2126" w:type="dxa"/>
          </w:tcPr>
          <w:p w14:paraId="09A1C9C4"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1EC622FF"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bookmarkStart w:id="11" w:name="_Hlk202527441"/>
            <w:r w:rsidRPr="00AF0CED">
              <w:rPr>
                <w:color w:val="auto"/>
              </w:rPr>
              <w:t>71.65 ± 0.12</w:t>
            </w:r>
            <w:bookmarkEnd w:id="11"/>
          </w:p>
        </w:tc>
        <w:tc>
          <w:tcPr>
            <w:tcW w:w="1933" w:type="dxa"/>
          </w:tcPr>
          <w:p w14:paraId="323957DB"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r>
      <w:tr w:rsidR="002D3C02" w:rsidRPr="00AF0CED" w14:paraId="67E203A8" w14:textId="77777777" w:rsidTr="00573324">
        <w:tc>
          <w:tcPr>
            <w:cnfStyle w:val="001000000000" w:firstRow="0" w:lastRow="0" w:firstColumn="1" w:lastColumn="0" w:oddVBand="0" w:evenVBand="0" w:oddHBand="0" w:evenHBand="0" w:firstRowFirstColumn="0" w:firstRowLastColumn="0" w:lastRowFirstColumn="0" w:lastRowLastColumn="0"/>
            <w:tcW w:w="2972" w:type="dxa"/>
            <w:vMerge/>
          </w:tcPr>
          <w:p w14:paraId="70316ED5" w14:textId="77777777" w:rsidR="002D3C02" w:rsidRPr="00AF0CED" w:rsidRDefault="002D3C02" w:rsidP="00573324">
            <w:pPr>
              <w:spacing w:line="276" w:lineRule="auto"/>
              <w:rPr>
                <w:b w:val="0"/>
                <w:bCs w:val="0"/>
                <w:color w:val="auto"/>
              </w:rPr>
            </w:pPr>
          </w:p>
        </w:tc>
        <w:tc>
          <w:tcPr>
            <w:tcW w:w="2126" w:type="dxa"/>
          </w:tcPr>
          <w:p w14:paraId="3375C5A2"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n-butanol fraction</w:t>
            </w:r>
          </w:p>
        </w:tc>
        <w:tc>
          <w:tcPr>
            <w:tcW w:w="1985" w:type="dxa"/>
          </w:tcPr>
          <w:p w14:paraId="482BB330"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75.95 ± 0.47</w:t>
            </w:r>
          </w:p>
        </w:tc>
        <w:tc>
          <w:tcPr>
            <w:tcW w:w="1933" w:type="dxa"/>
          </w:tcPr>
          <w:p w14:paraId="4F862263"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ND</w:t>
            </w:r>
          </w:p>
        </w:tc>
      </w:tr>
      <w:tr w:rsidR="002D3C02" w:rsidRPr="00AF0CED" w14:paraId="5014E263"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64B3401C" w14:textId="77777777" w:rsidR="002D3C02" w:rsidRPr="00AF0CED" w:rsidRDefault="002D3C02" w:rsidP="00573324">
            <w:pPr>
              <w:spacing w:line="276" w:lineRule="auto"/>
              <w:rPr>
                <w:b w:val="0"/>
                <w:bCs w:val="0"/>
                <w:color w:val="auto"/>
              </w:rPr>
            </w:pPr>
            <w:r w:rsidRPr="00AF0CED">
              <w:rPr>
                <w:b w:val="0"/>
                <w:bCs w:val="0"/>
                <w:color w:val="auto"/>
              </w:rPr>
              <w:t xml:space="preserve">VS- </w:t>
            </w:r>
            <w:r w:rsidRPr="00AF0CED">
              <w:rPr>
                <w:b w:val="0"/>
                <w:bCs w:val="0"/>
                <w:i/>
                <w:iCs/>
                <w:color w:val="auto"/>
              </w:rPr>
              <w:t>Vigna subterranea</w:t>
            </w:r>
          </w:p>
        </w:tc>
        <w:tc>
          <w:tcPr>
            <w:tcW w:w="2126" w:type="dxa"/>
          </w:tcPr>
          <w:p w14:paraId="4BAF6A95"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Ethanol extract</w:t>
            </w:r>
          </w:p>
        </w:tc>
        <w:tc>
          <w:tcPr>
            <w:tcW w:w="1985" w:type="dxa"/>
          </w:tcPr>
          <w:p w14:paraId="2398AC00"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bookmarkStart w:id="12" w:name="_Hlk202527382"/>
            <w:r w:rsidRPr="00AF0CED">
              <w:rPr>
                <w:color w:val="auto"/>
              </w:rPr>
              <w:t>64.50 ± 0.84</w:t>
            </w:r>
            <w:bookmarkEnd w:id="12"/>
          </w:p>
        </w:tc>
        <w:tc>
          <w:tcPr>
            <w:tcW w:w="1933" w:type="dxa"/>
          </w:tcPr>
          <w:p w14:paraId="330B359F"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bookmarkStart w:id="13" w:name="_Hlk202527088"/>
            <w:r w:rsidRPr="00AF0CED">
              <w:rPr>
                <w:color w:val="auto"/>
              </w:rPr>
              <w:t>95.66 ± 0.12</w:t>
            </w:r>
            <w:bookmarkEnd w:id="13"/>
          </w:p>
        </w:tc>
      </w:tr>
      <w:tr w:rsidR="002D3C02" w:rsidRPr="00AF0CED" w14:paraId="0D8837B3"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4C3DD0B2" w14:textId="77777777" w:rsidR="002D3C02" w:rsidRPr="00AF0CED" w:rsidRDefault="002D3C02" w:rsidP="00573324">
            <w:pPr>
              <w:spacing w:line="276" w:lineRule="auto"/>
              <w:rPr>
                <w:b w:val="0"/>
                <w:bCs w:val="0"/>
                <w:color w:val="auto"/>
              </w:rPr>
            </w:pPr>
          </w:p>
        </w:tc>
        <w:tc>
          <w:tcPr>
            <w:tcW w:w="2126" w:type="dxa"/>
          </w:tcPr>
          <w:p w14:paraId="7A7C299B"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n-butanol fraction</w:t>
            </w:r>
          </w:p>
        </w:tc>
        <w:tc>
          <w:tcPr>
            <w:tcW w:w="1985" w:type="dxa"/>
          </w:tcPr>
          <w:p w14:paraId="08552390"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55.41 ± 0.15</w:t>
            </w:r>
          </w:p>
        </w:tc>
        <w:tc>
          <w:tcPr>
            <w:tcW w:w="1933" w:type="dxa"/>
          </w:tcPr>
          <w:p w14:paraId="4541EF5A"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104.1 ± 0.10</w:t>
            </w:r>
          </w:p>
        </w:tc>
      </w:tr>
      <w:tr w:rsidR="002D3C02" w:rsidRPr="00AF0CED" w14:paraId="5A886A27"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3DCD8600" w14:textId="77777777" w:rsidR="002D3C02" w:rsidRPr="00AF0CED" w:rsidRDefault="002D3C02" w:rsidP="00573324">
            <w:pPr>
              <w:spacing w:line="276" w:lineRule="auto"/>
              <w:rPr>
                <w:b w:val="0"/>
                <w:bCs w:val="0"/>
                <w:color w:val="auto"/>
              </w:rPr>
            </w:pPr>
            <w:r w:rsidRPr="00AF0CED">
              <w:rPr>
                <w:b w:val="0"/>
                <w:bCs w:val="0"/>
                <w:color w:val="auto"/>
              </w:rPr>
              <w:t>Orlistat</w:t>
            </w:r>
          </w:p>
        </w:tc>
        <w:tc>
          <w:tcPr>
            <w:tcW w:w="2126" w:type="dxa"/>
          </w:tcPr>
          <w:p w14:paraId="109A7BC7"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1985" w:type="dxa"/>
          </w:tcPr>
          <w:p w14:paraId="118B499A"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 xml:space="preserve">0.11 ± 0.02 </w:t>
            </w:r>
          </w:p>
        </w:tc>
        <w:tc>
          <w:tcPr>
            <w:tcW w:w="1933" w:type="dxa"/>
          </w:tcPr>
          <w:p w14:paraId="2793574A"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NA</w:t>
            </w:r>
          </w:p>
        </w:tc>
      </w:tr>
      <w:tr w:rsidR="002D3C02" w:rsidRPr="00AF0CED" w14:paraId="322A1531" w14:textId="77777777" w:rsidTr="00573324">
        <w:tc>
          <w:tcPr>
            <w:cnfStyle w:val="001000000000" w:firstRow="0" w:lastRow="0" w:firstColumn="1" w:lastColumn="0" w:oddVBand="0" w:evenVBand="0" w:oddHBand="0" w:evenHBand="0" w:firstRowFirstColumn="0" w:firstRowLastColumn="0" w:lastRowFirstColumn="0" w:lastRowLastColumn="0"/>
            <w:tcW w:w="2972" w:type="dxa"/>
          </w:tcPr>
          <w:p w14:paraId="3E5D43D1" w14:textId="77777777" w:rsidR="002D3C02" w:rsidRPr="00AF0CED" w:rsidRDefault="002D3C02" w:rsidP="00573324">
            <w:pPr>
              <w:spacing w:line="276" w:lineRule="auto"/>
              <w:rPr>
                <w:b w:val="0"/>
                <w:bCs w:val="0"/>
                <w:color w:val="auto"/>
              </w:rPr>
            </w:pPr>
            <w:r w:rsidRPr="00AF0CED">
              <w:rPr>
                <w:b w:val="0"/>
                <w:bCs w:val="0"/>
                <w:color w:val="auto"/>
              </w:rPr>
              <w:t>Acarbose</w:t>
            </w:r>
          </w:p>
        </w:tc>
        <w:tc>
          <w:tcPr>
            <w:tcW w:w="2126" w:type="dxa"/>
          </w:tcPr>
          <w:p w14:paraId="1AFF871D"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1985" w:type="dxa"/>
          </w:tcPr>
          <w:p w14:paraId="57EF235F"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NA</w:t>
            </w:r>
          </w:p>
        </w:tc>
        <w:tc>
          <w:tcPr>
            <w:tcW w:w="1933" w:type="dxa"/>
          </w:tcPr>
          <w:p w14:paraId="0C2CEA6D" w14:textId="77777777" w:rsidR="002D3C02" w:rsidRPr="00AF0CED" w:rsidRDefault="002D3C02" w:rsidP="00573324">
            <w:pPr>
              <w:spacing w:line="276" w:lineRule="auto"/>
              <w:cnfStyle w:val="000000000000" w:firstRow="0" w:lastRow="0" w:firstColumn="0" w:lastColumn="0" w:oddVBand="0" w:evenVBand="0" w:oddHBand="0" w:evenHBand="0" w:firstRowFirstColumn="0" w:firstRowLastColumn="0" w:lastRowFirstColumn="0" w:lastRowLastColumn="0"/>
              <w:rPr>
                <w:color w:val="auto"/>
              </w:rPr>
            </w:pPr>
            <w:r w:rsidRPr="00AF0CED">
              <w:rPr>
                <w:color w:val="auto"/>
              </w:rPr>
              <w:t>19.44 ± 0.08</w:t>
            </w:r>
          </w:p>
        </w:tc>
      </w:tr>
    </w:tbl>
    <w:p w14:paraId="137BB81E" w14:textId="77777777" w:rsidR="002D3C02" w:rsidRPr="00AF0CED" w:rsidRDefault="002D3C02" w:rsidP="002D3C02">
      <w:r w:rsidRPr="00AF0CED">
        <w:t>Note: ND- not determined; NA- not applicable</w:t>
      </w:r>
    </w:p>
    <w:p w14:paraId="0C531D09" w14:textId="77777777" w:rsidR="002D3C02" w:rsidRPr="00AF0CED" w:rsidRDefault="002D3C02" w:rsidP="002D3C02">
      <w:pPr>
        <w:spacing w:line="360" w:lineRule="auto"/>
        <w:jc w:val="both"/>
      </w:pPr>
    </w:p>
    <w:p w14:paraId="6B8D9658" w14:textId="77777777" w:rsidR="002D3C02" w:rsidRPr="00AF0CED" w:rsidRDefault="002D3C02" w:rsidP="002D3C02">
      <w:pPr>
        <w:spacing w:line="360" w:lineRule="auto"/>
        <w:jc w:val="both"/>
      </w:pPr>
    </w:p>
    <w:bookmarkEnd w:id="6"/>
    <w:p w14:paraId="31CD9106" w14:textId="7FF33952" w:rsidR="002D3C02" w:rsidRPr="00AF0CED" w:rsidRDefault="002D3C02" w:rsidP="002D3C02">
      <w:pPr>
        <w:spacing w:line="360" w:lineRule="auto"/>
        <w:jc w:val="both"/>
      </w:pPr>
      <w:r w:rsidRPr="00AF0CED">
        <w:rPr>
          <w:b/>
        </w:rPr>
        <w:t xml:space="preserve">Table 2. </w:t>
      </w:r>
      <w:r w:rsidRPr="00AF0CED">
        <w:t xml:space="preserve">Effect of n-butanol fraction of plants on triglycerides levels </w:t>
      </w:r>
      <w:r>
        <w:t xml:space="preserve">of rats </w:t>
      </w:r>
      <w:r w:rsidRPr="00AF0CED">
        <w:t xml:space="preserve">(mmol/L) </w:t>
      </w:r>
    </w:p>
    <w:tbl>
      <w:tblPr>
        <w:tblStyle w:val="ListTable6Colorful"/>
        <w:tblW w:w="0" w:type="auto"/>
        <w:tblLook w:val="0620" w:firstRow="1" w:lastRow="0" w:firstColumn="0" w:lastColumn="0" w:noHBand="1" w:noVBand="1"/>
      </w:tblPr>
      <w:tblGrid>
        <w:gridCol w:w="2547"/>
        <w:gridCol w:w="1701"/>
        <w:gridCol w:w="1701"/>
        <w:gridCol w:w="1701"/>
        <w:gridCol w:w="1700"/>
      </w:tblGrid>
      <w:tr w:rsidR="002D3C02" w:rsidRPr="00AF0CED" w14:paraId="3D8D5459" w14:textId="77777777" w:rsidTr="00573324">
        <w:trPr>
          <w:cnfStyle w:val="100000000000" w:firstRow="1" w:lastRow="0" w:firstColumn="0" w:lastColumn="0" w:oddVBand="0" w:evenVBand="0" w:oddHBand="0" w:evenHBand="0" w:firstRowFirstColumn="0" w:firstRowLastColumn="0" w:lastRowFirstColumn="0" w:lastRowLastColumn="0"/>
        </w:trPr>
        <w:tc>
          <w:tcPr>
            <w:tcW w:w="2547" w:type="dxa"/>
          </w:tcPr>
          <w:p w14:paraId="3641721D" w14:textId="77777777" w:rsidR="002D3C02" w:rsidRPr="00AF0CED" w:rsidRDefault="002D3C02" w:rsidP="00573324">
            <w:pPr>
              <w:spacing w:line="360" w:lineRule="auto"/>
              <w:jc w:val="both"/>
              <w:rPr>
                <w:color w:val="auto"/>
              </w:rPr>
            </w:pPr>
            <w:r w:rsidRPr="00AF0CED">
              <w:rPr>
                <w:color w:val="auto"/>
              </w:rPr>
              <w:t>Treatment</w:t>
            </w:r>
          </w:p>
        </w:tc>
        <w:tc>
          <w:tcPr>
            <w:tcW w:w="1701" w:type="dxa"/>
          </w:tcPr>
          <w:p w14:paraId="07C3A1B3" w14:textId="77777777" w:rsidR="002D3C02" w:rsidRPr="00AF0CED" w:rsidRDefault="002D3C02" w:rsidP="00573324">
            <w:pPr>
              <w:spacing w:line="360" w:lineRule="auto"/>
              <w:jc w:val="both"/>
              <w:rPr>
                <w:color w:val="auto"/>
              </w:rPr>
            </w:pPr>
            <w:r w:rsidRPr="00AF0CED">
              <w:rPr>
                <w:color w:val="auto"/>
              </w:rPr>
              <w:t>0 h</w:t>
            </w:r>
          </w:p>
        </w:tc>
        <w:tc>
          <w:tcPr>
            <w:tcW w:w="1701" w:type="dxa"/>
          </w:tcPr>
          <w:p w14:paraId="771EF75D" w14:textId="77777777" w:rsidR="002D3C02" w:rsidRPr="00AF0CED" w:rsidRDefault="002D3C02" w:rsidP="00573324">
            <w:pPr>
              <w:spacing w:line="360" w:lineRule="auto"/>
              <w:jc w:val="both"/>
              <w:rPr>
                <w:color w:val="auto"/>
              </w:rPr>
            </w:pPr>
            <w:r w:rsidRPr="00AF0CED">
              <w:rPr>
                <w:color w:val="auto"/>
              </w:rPr>
              <w:t>3 h</w:t>
            </w:r>
          </w:p>
        </w:tc>
        <w:tc>
          <w:tcPr>
            <w:tcW w:w="1701" w:type="dxa"/>
          </w:tcPr>
          <w:p w14:paraId="7A04927C" w14:textId="77777777" w:rsidR="002D3C02" w:rsidRPr="00AF0CED" w:rsidRDefault="002D3C02" w:rsidP="00573324">
            <w:pPr>
              <w:spacing w:line="360" w:lineRule="auto"/>
              <w:jc w:val="both"/>
              <w:rPr>
                <w:color w:val="auto"/>
              </w:rPr>
            </w:pPr>
            <w:r w:rsidRPr="00AF0CED">
              <w:rPr>
                <w:color w:val="auto"/>
              </w:rPr>
              <w:t>24 h</w:t>
            </w:r>
          </w:p>
        </w:tc>
        <w:tc>
          <w:tcPr>
            <w:tcW w:w="1700" w:type="dxa"/>
          </w:tcPr>
          <w:p w14:paraId="1C7487E0" w14:textId="77777777" w:rsidR="002D3C02" w:rsidRPr="00AF0CED" w:rsidRDefault="002D3C02" w:rsidP="00573324">
            <w:pPr>
              <w:spacing w:line="360" w:lineRule="auto"/>
              <w:jc w:val="both"/>
              <w:rPr>
                <w:color w:val="auto"/>
              </w:rPr>
            </w:pPr>
            <w:r w:rsidRPr="00AF0CED">
              <w:rPr>
                <w:color w:val="auto"/>
              </w:rPr>
              <w:t>48 h</w:t>
            </w:r>
          </w:p>
        </w:tc>
      </w:tr>
      <w:tr w:rsidR="002D3C02" w:rsidRPr="00AF0CED" w14:paraId="0FEC4E02" w14:textId="77777777" w:rsidTr="00573324">
        <w:tc>
          <w:tcPr>
            <w:tcW w:w="2547" w:type="dxa"/>
          </w:tcPr>
          <w:p w14:paraId="71E9A81B" w14:textId="77777777" w:rsidR="002D3C02" w:rsidRPr="00AF0CED" w:rsidRDefault="002D3C02" w:rsidP="00573324">
            <w:pPr>
              <w:spacing w:line="360" w:lineRule="auto"/>
              <w:jc w:val="both"/>
              <w:rPr>
                <w:bCs/>
                <w:color w:val="auto"/>
              </w:rPr>
            </w:pPr>
            <w:r w:rsidRPr="00AF0CED">
              <w:rPr>
                <w:bCs/>
                <w:color w:val="auto"/>
              </w:rPr>
              <w:t>Normal Control</w:t>
            </w:r>
          </w:p>
        </w:tc>
        <w:tc>
          <w:tcPr>
            <w:tcW w:w="1701" w:type="dxa"/>
          </w:tcPr>
          <w:p w14:paraId="2BE3027B" w14:textId="77777777" w:rsidR="002D3C02" w:rsidRPr="00AF0CED" w:rsidRDefault="002D3C02" w:rsidP="00573324">
            <w:pPr>
              <w:spacing w:line="360" w:lineRule="auto"/>
              <w:jc w:val="both"/>
              <w:rPr>
                <w:color w:val="auto"/>
                <w:vertAlign w:val="superscript"/>
              </w:rPr>
            </w:pPr>
            <w:r w:rsidRPr="00AF0CED">
              <w:rPr>
                <w:color w:val="auto"/>
              </w:rPr>
              <w:t>0.6</w:t>
            </w:r>
            <w:r>
              <w:rPr>
                <w:color w:val="auto"/>
              </w:rPr>
              <w:t>2</w:t>
            </w:r>
            <w:r w:rsidRPr="00AF0CED">
              <w:rPr>
                <w:color w:val="auto"/>
              </w:rPr>
              <w:t xml:space="preserve"> ± 0.04</w:t>
            </w:r>
            <w:r w:rsidRPr="00AF0CED">
              <w:rPr>
                <w:color w:val="auto"/>
                <w:vertAlign w:val="superscript"/>
              </w:rPr>
              <w:t>a</w:t>
            </w:r>
          </w:p>
        </w:tc>
        <w:tc>
          <w:tcPr>
            <w:tcW w:w="1701" w:type="dxa"/>
          </w:tcPr>
          <w:p w14:paraId="3EE2E719" w14:textId="77777777" w:rsidR="002D3C02" w:rsidRPr="00AF0CED" w:rsidRDefault="002D3C02" w:rsidP="00573324">
            <w:pPr>
              <w:spacing w:line="360" w:lineRule="auto"/>
              <w:jc w:val="both"/>
              <w:rPr>
                <w:color w:val="auto"/>
                <w:vertAlign w:val="superscript"/>
              </w:rPr>
            </w:pPr>
            <w:r w:rsidRPr="00AF0CED">
              <w:rPr>
                <w:color w:val="auto"/>
              </w:rPr>
              <w:t>0.60 ± 0.0</w:t>
            </w:r>
            <w:r>
              <w:rPr>
                <w:color w:val="auto"/>
              </w:rPr>
              <w:t>3</w:t>
            </w:r>
            <w:r w:rsidRPr="00AF0CED">
              <w:rPr>
                <w:color w:val="auto"/>
                <w:vertAlign w:val="superscript"/>
              </w:rPr>
              <w:t>b</w:t>
            </w:r>
          </w:p>
        </w:tc>
        <w:tc>
          <w:tcPr>
            <w:tcW w:w="1701" w:type="dxa"/>
          </w:tcPr>
          <w:p w14:paraId="21C88FB0" w14:textId="77777777" w:rsidR="002D3C02" w:rsidRPr="00AF0CED" w:rsidRDefault="002D3C02" w:rsidP="00573324">
            <w:pPr>
              <w:spacing w:line="360" w:lineRule="auto"/>
              <w:jc w:val="both"/>
              <w:rPr>
                <w:color w:val="auto"/>
                <w:vertAlign w:val="superscript"/>
              </w:rPr>
            </w:pPr>
            <w:r w:rsidRPr="00AF0CED">
              <w:rPr>
                <w:color w:val="auto"/>
              </w:rPr>
              <w:t>0.6</w:t>
            </w:r>
            <w:r>
              <w:rPr>
                <w:color w:val="auto"/>
              </w:rPr>
              <w:t>4</w:t>
            </w:r>
            <w:r w:rsidRPr="00AF0CED">
              <w:rPr>
                <w:color w:val="auto"/>
              </w:rPr>
              <w:t xml:space="preserve"> ± 0.03</w:t>
            </w:r>
            <w:r w:rsidRPr="00AF0CED">
              <w:rPr>
                <w:color w:val="auto"/>
                <w:vertAlign w:val="superscript"/>
              </w:rPr>
              <w:t>d</w:t>
            </w:r>
          </w:p>
        </w:tc>
        <w:tc>
          <w:tcPr>
            <w:tcW w:w="1700" w:type="dxa"/>
          </w:tcPr>
          <w:p w14:paraId="263D121B" w14:textId="77777777" w:rsidR="002D3C02" w:rsidRPr="00AF0CED" w:rsidRDefault="002D3C02" w:rsidP="00573324">
            <w:pPr>
              <w:spacing w:line="360" w:lineRule="auto"/>
              <w:jc w:val="both"/>
              <w:rPr>
                <w:color w:val="auto"/>
                <w:vertAlign w:val="superscript"/>
              </w:rPr>
            </w:pPr>
            <w:r w:rsidRPr="00AF0CED">
              <w:rPr>
                <w:color w:val="auto"/>
              </w:rPr>
              <w:t>0.63 ± 0.0</w:t>
            </w:r>
            <w:r>
              <w:rPr>
                <w:color w:val="auto"/>
              </w:rPr>
              <w:t>4</w:t>
            </w:r>
            <w:r w:rsidRPr="00AF0CED">
              <w:rPr>
                <w:color w:val="auto"/>
                <w:vertAlign w:val="superscript"/>
              </w:rPr>
              <w:t>b</w:t>
            </w:r>
          </w:p>
        </w:tc>
      </w:tr>
      <w:tr w:rsidR="002D3C02" w:rsidRPr="00AF0CED" w14:paraId="3E79CA2E" w14:textId="77777777" w:rsidTr="00573324">
        <w:tc>
          <w:tcPr>
            <w:tcW w:w="2547" w:type="dxa"/>
          </w:tcPr>
          <w:p w14:paraId="77795F0A" w14:textId="77777777" w:rsidR="002D3C02" w:rsidRPr="00AF0CED" w:rsidRDefault="002D3C02" w:rsidP="00573324">
            <w:pPr>
              <w:spacing w:line="360" w:lineRule="auto"/>
              <w:jc w:val="both"/>
              <w:rPr>
                <w:bCs/>
                <w:color w:val="auto"/>
              </w:rPr>
            </w:pPr>
            <w:r w:rsidRPr="00AF0CED">
              <w:rPr>
                <w:bCs/>
                <w:color w:val="auto"/>
              </w:rPr>
              <w:t>Hyperlipidemic control</w:t>
            </w:r>
          </w:p>
        </w:tc>
        <w:tc>
          <w:tcPr>
            <w:tcW w:w="1701" w:type="dxa"/>
          </w:tcPr>
          <w:p w14:paraId="06400B4E" w14:textId="77777777" w:rsidR="002D3C02" w:rsidRPr="00AF0CED" w:rsidRDefault="002D3C02" w:rsidP="00573324">
            <w:pPr>
              <w:spacing w:line="360" w:lineRule="auto"/>
              <w:jc w:val="both"/>
              <w:rPr>
                <w:color w:val="auto"/>
                <w:vertAlign w:val="superscript"/>
              </w:rPr>
            </w:pPr>
            <w:r w:rsidRPr="00AF0CED">
              <w:rPr>
                <w:color w:val="auto"/>
              </w:rPr>
              <w:t>0.74 ± 0.09</w:t>
            </w:r>
            <w:r w:rsidRPr="00AF0CED">
              <w:rPr>
                <w:color w:val="auto"/>
                <w:vertAlign w:val="superscript"/>
              </w:rPr>
              <w:t>a</w:t>
            </w:r>
          </w:p>
        </w:tc>
        <w:tc>
          <w:tcPr>
            <w:tcW w:w="1701" w:type="dxa"/>
          </w:tcPr>
          <w:p w14:paraId="61FE6ECC" w14:textId="77777777" w:rsidR="002D3C02" w:rsidRPr="00AF0CED" w:rsidRDefault="002D3C02" w:rsidP="00573324">
            <w:pPr>
              <w:spacing w:line="360" w:lineRule="auto"/>
              <w:jc w:val="both"/>
              <w:rPr>
                <w:color w:val="auto"/>
                <w:vertAlign w:val="superscript"/>
              </w:rPr>
            </w:pPr>
            <w:r w:rsidRPr="00AF0CED">
              <w:rPr>
                <w:color w:val="auto"/>
              </w:rPr>
              <w:t>3.0</w:t>
            </w:r>
            <w:r>
              <w:rPr>
                <w:color w:val="auto"/>
              </w:rPr>
              <w:t>4</w:t>
            </w:r>
            <w:r w:rsidRPr="00AF0CED">
              <w:rPr>
                <w:color w:val="auto"/>
              </w:rPr>
              <w:t xml:space="preserve"> ± 0.2</w:t>
            </w:r>
            <w:r>
              <w:rPr>
                <w:color w:val="auto"/>
              </w:rPr>
              <w:t>4</w:t>
            </w:r>
            <w:r w:rsidRPr="00AF0CED">
              <w:rPr>
                <w:color w:val="auto"/>
                <w:vertAlign w:val="superscript"/>
              </w:rPr>
              <w:t>a</w:t>
            </w:r>
          </w:p>
        </w:tc>
        <w:tc>
          <w:tcPr>
            <w:tcW w:w="1701" w:type="dxa"/>
          </w:tcPr>
          <w:p w14:paraId="78ED828A" w14:textId="77777777" w:rsidR="002D3C02" w:rsidRPr="00AF0CED" w:rsidRDefault="002D3C02" w:rsidP="00573324">
            <w:pPr>
              <w:spacing w:line="360" w:lineRule="auto"/>
              <w:jc w:val="both"/>
              <w:rPr>
                <w:color w:val="auto"/>
                <w:vertAlign w:val="superscript"/>
              </w:rPr>
            </w:pPr>
            <w:r w:rsidRPr="00AF0CED">
              <w:rPr>
                <w:color w:val="auto"/>
              </w:rPr>
              <w:t>2.3</w:t>
            </w:r>
            <w:r>
              <w:rPr>
                <w:color w:val="auto"/>
              </w:rPr>
              <w:t>5</w:t>
            </w:r>
            <w:r w:rsidRPr="00AF0CED">
              <w:rPr>
                <w:color w:val="auto"/>
              </w:rPr>
              <w:t xml:space="preserve"> ± 0.09</w:t>
            </w:r>
            <w:r w:rsidRPr="00AF0CED">
              <w:rPr>
                <w:color w:val="auto"/>
                <w:vertAlign w:val="superscript"/>
              </w:rPr>
              <w:t>a</w:t>
            </w:r>
          </w:p>
        </w:tc>
        <w:tc>
          <w:tcPr>
            <w:tcW w:w="1700" w:type="dxa"/>
          </w:tcPr>
          <w:p w14:paraId="4AB5E0B1" w14:textId="77777777" w:rsidR="002D3C02" w:rsidRPr="00AF0CED" w:rsidRDefault="002D3C02" w:rsidP="00573324">
            <w:pPr>
              <w:spacing w:line="360" w:lineRule="auto"/>
              <w:jc w:val="both"/>
              <w:rPr>
                <w:color w:val="auto"/>
                <w:vertAlign w:val="superscript"/>
              </w:rPr>
            </w:pPr>
            <w:r w:rsidRPr="00AF0CED">
              <w:rPr>
                <w:color w:val="auto"/>
              </w:rPr>
              <w:t>1.63 ± 0.1</w:t>
            </w:r>
            <w:r>
              <w:rPr>
                <w:color w:val="auto"/>
              </w:rPr>
              <w:t>6</w:t>
            </w:r>
            <w:r w:rsidRPr="00AF0CED">
              <w:rPr>
                <w:color w:val="auto"/>
                <w:vertAlign w:val="superscript"/>
              </w:rPr>
              <w:t>a</w:t>
            </w:r>
          </w:p>
        </w:tc>
      </w:tr>
      <w:tr w:rsidR="002D3C02" w:rsidRPr="00AF0CED" w14:paraId="21678055" w14:textId="77777777" w:rsidTr="00573324">
        <w:tc>
          <w:tcPr>
            <w:tcW w:w="2547" w:type="dxa"/>
          </w:tcPr>
          <w:p w14:paraId="614E256B" w14:textId="77777777" w:rsidR="002D3C02" w:rsidRPr="00AF0CED" w:rsidRDefault="002D3C02" w:rsidP="00573324">
            <w:pPr>
              <w:spacing w:line="360" w:lineRule="auto"/>
              <w:jc w:val="both"/>
              <w:rPr>
                <w:bCs/>
                <w:color w:val="auto"/>
              </w:rPr>
            </w:pPr>
            <w:r w:rsidRPr="00AF0CED">
              <w:rPr>
                <w:bCs/>
                <w:color w:val="auto"/>
              </w:rPr>
              <w:t>Rosuvastatin (75mg/kg)</w:t>
            </w:r>
          </w:p>
        </w:tc>
        <w:tc>
          <w:tcPr>
            <w:tcW w:w="1701" w:type="dxa"/>
          </w:tcPr>
          <w:p w14:paraId="0DFE6A7E" w14:textId="77777777" w:rsidR="002D3C02" w:rsidRPr="00AF0CED" w:rsidRDefault="002D3C02" w:rsidP="00573324">
            <w:pPr>
              <w:spacing w:line="360" w:lineRule="auto"/>
              <w:jc w:val="both"/>
              <w:rPr>
                <w:color w:val="auto"/>
                <w:vertAlign w:val="superscript"/>
              </w:rPr>
            </w:pPr>
            <w:r w:rsidRPr="00AF0CED">
              <w:rPr>
                <w:color w:val="auto"/>
              </w:rPr>
              <w:t>0.9</w:t>
            </w:r>
            <w:r>
              <w:rPr>
                <w:color w:val="auto"/>
              </w:rPr>
              <w:t>1</w:t>
            </w:r>
            <w:r w:rsidRPr="00AF0CED">
              <w:rPr>
                <w:color w:val="auto"/>
              </w:rPr>
              <w:t xml:space="preserve"> ± 0.25</w:t>
            </w:r>
            <w:r w:rsidRPr="00AF0CED">
              <w:rPr>
                <w:color w:val="auto"/>
                <w:vertAlign w:val="superscript"/>
              </w:rPr>
              <w:t>a</w:t>
            </w:r>
          </w:p>
        </w:tc>
        <w:tc>
          <w:tcPr>
            <w:tcW w:w="1701" w:type="dxa"/>
          </w:tcPr>
          <w:p w14:paraId="74481779" w14:textId="77777777" w:rsidR="002D3C02" w:rsidRPr="00AF0CED" w:rsidRDefault="002D3C02" w:rsidP="00573324">
            <w:pPr>
              <w:spacing w:line="360" w:lineRule="auto"/>
              <w:jc w:val="both"/>
              <w:rPr>
                <w:color w:val="auto"/>
                <w:vertAlign w:val="superscript"/>
              </w:rPr>
            </w:pPr>
            <w:r w:rsidRPr="00AF0CED">
              <w:rPr>
                <w:color w:val="auto"/>
              </w:rPr>
              <w:t>2.9</w:t>
            </w:r>
            <w:r>
              <w:rPr>
                <w:color w:val="auto"/>
              </w:rPr>
              <w:t>1</w:t>
            </w:r>
            <w:r w:rsidRPr="00AF0CED">
              <w:rPr>
                <w:color w:val="auto"/>
              </w:rPr>
              <w:t>± 0.1</w:t>
            </w:r>
            <w:r>
              <w:rPr>
                <w:color w:val="auto"/>
              </w:rPr>
              <w:t>8</w:t>
            </w:r>
            <w:r w:rsidRPr="00AF0CED">
              <w:rPr>
                <w:color w:val="auto"/>
                <w:vertAlign w:val="superscript"/>
              </w:rPr>
              <w:t>a</w:t>
            </w:r>
          </w:p>
        </w:tc>
        <w:tc>
          <w:tcPr>
            <w:tcW w:w="1701" w:type="dxa"/>
          </w:tcPr>
          <w:p w14:paraId="0CB9638A" w14:textId="77777777" w:rsidR="002D3C02" w:rsidRPr="00AF0CED" w:rsidRDefault="002D3C02" w:rsidP="00573324">
            <w:pPr>
              <w:spacing w:line="360" w:lineRule="auto"/>
              <w:jc w:val="both"/>
              <w:rPr>
                <w:color w:val="auto"/>
                <w:vertAlign w:val="superscript"/>
              </w:rPr>
            </w:pPr>
            <w:r w:rsidRPr="00AF0CED">
              <w:rPr>
                <w:color w:val="auto"/>
              </w:rPr>
              <w:t>1.</w:t>
            </w:r>
            <w:r>
              <w:rPr>
                <w:color w:val="auto"/>
              </w:rPr>
              <w:t>90</w:t>
            </w:r>
            <w:r w:rsidRPr="00AF0CED">
              <w:rPr>
                <w:color w:val="auto"/>
              </w:rPr>
              <w:t xml:space="preserve"> ± 0.1</w:t>
            </w:r>
            <w:r>
              <w:rPr>
                <w:color w:val="auto"/>
              </w:rPr>
              <w:t>5</w:t>
            </w:r>
            <w:r w:rsidRPr="00AF0CED">
              <w:rPr>
                <w:color w:val="auto"/>
                <w:vertAlign w:val="superscript"/>
              </w:rPr>
              <w:t>b</w:t>
            </w:r>
          </w:p>
        </w:tc>
        <w:tc>
          <w:tcPr>
            <w:tcW w:w="1700" w:type="dxa"/>
          </w:tcPr>
          <w:p w14:paraId="3F2C4BDF" w14:textId="77777777" w:rsidR="002D3C02" w:rsidRPr="00AF0CED" w:rsidRDefault="002D3C02" w:rsidP="00573324">
            <w:pPr>
              <w:spacing w:line="360" w:lineRule="auto"/>
              <w:jc w:val="both"/>
              <w:rPr>
                <w:color w:val="auto"/>
                <w:vertAlign w:val="superscript"/>
              </w:rPr>
            </w:pPr>
            <w:r w:rsidRPr="00AF0CED">
              <w:rPr>
                <w:color w:val="auto"/>
              </w:rPr>
              <w:t>1.43 ± 0.06</w:t>
            </w:r>
            <w:r w:rsidRPr="00AF0CED">
              <w:rPr>
                <w:color w:val="auto"/>
                <w:vertAlign w:val="superscript"/>
              </w:rPr>
              <w:t>a</w:t>
            </w:r>
          </w:p>
        </w:tc>
      </w:tr>
      <w:tr w:rsidR="002D3C02" w:rsidRPr="00AF0CED" w14:paraId="45DB965E" w14:textId="77777777" w:rsidTr="00573324">
        <w:tc>
          <w:tcPr>
            <w:tcW w:w="2547" w:type="dxa"/>
          </w:tcPr>
          <w:p w14:paraId="1AB2F9F3" w14:textId="77777777" w:rsidR="002D3C02" w:rsidRPr="00AF0CED" w:rsidRDefault="002D3C02" w:rsidP="00573324">
            <w:pPr>
              <w:spacing w:line="360" w:lineRule="auto"/>
              <w:jc w:val="both"/>
              <w:rPr>
                <w:bCs/>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(150 mg/kg)</w:t>
            </w:r>
          </w:p>
        </w:tc>
        <w:tc>
          <w:tcPr>
            <w:tcW w:w="1701" w:type="dxa"/>
          </w:tcPr>
          <w:p w14:paraId="5F2B942D" w14:textId="77777777" w:rsidR="002D3C02" w:rsidRPr="00AF0CED" w:rsidRDefault="002D3C02" w:rsidP="00573324">
            <w:pPr>
              <w:spacing w:line="360" w:lineRule="auto"/>
              <w:jc w:val="both"/>
              <w:rPr>
                <w:color w:val="auto"/>
                <w:vertAlign w:val="superscript"/>
              </w:rPr>
            </w:pPr>
            <w:r w:rsidRPr="00AF0CED">
              <w:rPr>
                <w:color w:val="auto"/>
              </w:rPr>
              <w:t>0.61 ± 0.0</w:t>
            </w:r>
            <w:r>
              <w:rPr>
                <w:color w:val="auto"/>
              </w:rPr>
              <w:t>1</w:t>
            </w:r>
            <w:r w:rsidRPr="00AF0CED">
              <w:rPr>
                <w:color w:val="auto"/>
                <w:vertAlign w:val="superscript"/>
              </w:rPr>
              <w:t>a</w:t>
            </w:r>
          </w:p>
          <w:p w14:paraId="25E06554" w14:textId="77777777" w:rsidR="002D3C02" w:rsidRPr="00AF0CED" w:rsidRDefault="002D3C02" w:rsidP="00573324">
            <w:pPr>
              <w:spacing w:line="360" w:lineRule="auto"/>
              <w:jc w:val="both"/>
              <w:rPr>
                <w:color w:val="auto"/>
              </w:rPr>
            </w:pPr>
          </w:p>
        </w:tc>
        <w:tc>
          <w:tcPr>
            <w:tcW w:w="1701" w:type="dxa"/>
          </w:tcPr>
          <w:p w14:paraId="2C9C1F55" w14:textId="77777777" w:rsidR="002D3C02" w:rsidRPr="00AF0CED" w:rsidRDefault="002D3C02" w:rsidP="00573324">
            <w:pPr>
              <w:spacing w:line="360" w:lineRule="auto"/>
              <w:jc w:val="both"/>
              <w:rPr>
                <w:color w:val="auto"/>
                <w:vertAlign w:val="superscript"/>
              </w:rPr>
            </w:pPr>
            <w:r w:rsidRPr="00AF0CED">
              <w:rPr>
                <w:color w:val="auto"/>
              </w:rPr>
              <w:t>3.0</w:t>
            </w:r>
            <w:r>
              <w:rPr>
                <w:color w:val="auto"/>
              </w:rPr>
              <w:t>4</w:t>
            </w:r>
            <w:r w:rsidRPr="00AF0CED">
              <w:rPr>
                <w:color w:val="auto"/>
              </w:rPr>
              <w:t xml:space="preserve"> ± 0.0</w:t>
            </w:r>
            <w:r>
              <w:rPr>
                <w:color w:val="auto"/>
              </w:rPr>
              <w:t>2</w:t>
            </w:r>
            <w:r w:rsidRPr="00AF0CED">
              <w:rPr>
                <w:color w:val="auto"/>
                <w:vertAlign w:val="superscript"/>
              </w:rPr>
              <w:t>a</w:t>
            </w:r>
          </w:p>
          <w:p w14:paraId="7C6AD538" w14:textId="77777777" w:rsidR="002D3C02" w:rsidRPr="00AF0CED" w:rsidRDefault="002D3C02" w:rsidP="00573324">
            <w:pPr>
              <w:spacing w:line="360" w:lineRule="auto"/>
              <w:jc w:val="both"/>
              <w:rPr>
                <w:color w:val="auto"/>
              </w:rPr>
            </w:pPr>
          </w:p>
        </w:tc>
        <w:tc>
          <w:tcPr>
            <w:tcW w:w="1701" w:type="dxa"/>
          </w:tcPr>
          <w:p w14:paraId="2982C147" w14:textId="77777777" w:rsidR="002D3C02" w:rsidRPr="00AF0CED" w:rsidRDefault="002D3C02" w:rsidP="00573324">
            <w:pPr>
              <w:spacing w:line="360" w:lineRule="auto"/>
              <w:jc w:val="both"/>
              <w:rPr>
                <w:color w:val="auto"/>
                <w:vertAlign w:val="superscript"/>
              </w:rPr>
            </w:pPr>
            <w:r w:rsidRPr="00AF0CED">
              <w:rPr>
                <w:color w:val="auto"/>
              </w:rPr>
              <w:t>1.59 ± 0.06</w:t>
            </w:r>
            <w:r w:rsidRPr="00AF0CED">
              <w:rPr>
                <w:color w:val="auto"/>
                <w:vertAlign w:val="superscript"/>
              </w:rPr>
              <w:t>c</w:t>
            </w:r>
          </w:p>
          <w:p w14:paraId="183D850E" w14:textId="77777777" w:rsidR="002D3C02" w:rsidRPr="00AF0CED" w:rsidRDefault="002D3C02" w:rsidP="00573324">
            <w:pPr>
              <w:spacing w:line="360" w:lineRule="auto"/>
              <w:jc w:val="both"/>
              <w:rPr>
                <w:color w:val="auto"/>
              </w:rPr>
            </w:pPr>
          </w:p>
        </w:tc>
        <w:tc>
          <w:tcPr>
            <w:tcW w:w="1700" w:type="dxa"/>
          </w:tcPr>
          <w:p w14:paraId="0B262FC6" w14:textId="77777777" w:rsidR="002D3C02" w:rsidRPr="00AF0CED" w:rsidRDefault="002D3C02" w:rsidP="00573324">
            <w:pPr>
              <w:spacing w:line="360" w:lineRule="auto"/>
              <w:jc w:val="both"/>
              <w:rPr>
                <w:color w:val="auto"/>
                <w:vertAlign w:val="superscript"/>
              </w:rPr>
            </w:pPr>
            <w:r w:rsidRPr="00AF0CED">
              <w:rPr>
                <w:color w:val="auto"/>
              </w:rPr>
              <w:t>1.53 ± 0.1</w:t>
            </w:r>
            <w:r>
              <w:rPr>
                <w:color w:val="auto"/>
              </w:rPr>
              <w:t>6</w:t>
            </w:r>
            <w:r w:rsidRPr="00AF0CED">
              <w:rPr>
                <w:color w:val="auto"/>
                <w:vertAlign w:val="superscript"/>
              </w:rPr>
              <w:t>a</w:t>
            </w:r>
          </w:p>
          <w:p w14:paraId="53036F8F" w14:textId="77777777" w:rsidR="002D3C02" w:rsidRPr="00AF0CED" w:rsidRDefault="002D3C02" w:rsidP="00573324">
            <w:pPr>
              <w:spacing w:line="360" w:lineRule="auto"/>
              <w:jc w:val="both"/>
              <w:rPr>
                <w:color w:val="auto"/>
              </w:rPr>
            </w:pPr>
          </w:p>
        </w:tc>
      </w:tr>
      <w:tr w:rsidR="002D3C02" w:rsidRPr="00AF0CED" w14:paraId="7132FCDB" w14:textId="77777777" w:rsidTr="00573324">
        <w:tc>
          <w:tcPr>
            <w:tcW w:w="2547" w:type="dxa"/>
          </w:tcPr>
          <w:p w14:paraId="142470B0" w14:textId="77777777" w:rsidR="002D3C02" w:rsidRPr="00AF0CED" w:rsidRDefault="002D3C02" w:rsidP="00573324">
            <w:pPr>
              <w:spacing w:line="360" w:lineRule="auto"/>
              <w:jc w:val="both"/>
              <w:rPr>
                <w:bCs/>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(300 mg/kg)</w:t>
            </w:r>
          </w:p>
        </w:tc>
        <w:tc>
          <w:tcPr>
            <w:tcW w:w="1701" w:type="dxa"/>
          </w:tcPr>
          <w:p w14:paraId="5503CFED" w14:textId="77777777" w:rsidR="002D3C02" w:rsidRPr="00AF0CED" w:rsidRDefault="002D3C02" w:rsidP="00573324">
            <w:pPr>
              <w:spacing w:line="360" w:lineRule="auto"/>
              <w:jc w:val="both"/>
              <w:rPr>
                <w:color w:val="auto"/>
              </w:rPr>
            </w:pPr>
            <w:r w:rsidRPr="00AF0CED">
              <w:rPr>
                <w:color w:val="auto"/>
              </w:rPr>
              <w:t>0.61 ±0.0</w:t>
            </w:r>
            <w:r>
              <w:rPr>
                <w:color w:val="auto"/>
              </w:rPr>
              <w:t>1</w:t>
            </w:r>
            <w:r w:rsidRPr="00AF0CED">
              <w:rPr>
                <w:color w:val="auto"/>
                <w:vertAlign w:val="superscript"/>
              </w:rPr>
              <w:t>a</w:t>
            </w:r>
          </w:p>
        </w:tc>
        <w:tc>
          <w:tcPr>
            <w:tcW w:w="1701" w:type="dxa"/>
          </w:tcPr>
          <w:p w14:paraId="0E4C9596" w14:textId="77777777" w:rsidR="002D3C02" w:rsidRPr="00AF0CED" w:rsidRDefault="002D3C02" w:rsidP="00573324">
            <w:pPr>
              <w:spacing w:line="360" w:lineRule="auto"/>
              <w:jc w:val="both"/>
              <w:rPr>
                <w:color w:val="auto"/>
              </w:rPr>
            </w:pPr>
            <w:r w:rsidRPr="00AF0CED">
              <w:rPr>
                <w:color w:val="auto"/>
              </w:rPr>
              <w:t>3.0</w:t>
            </w:r>
            <w:r>
              <w:rPr>
                <w:color w:val="auto"/>
              </w:rPr>
              <w:t>4</w:t>
            </w:r>
            <w:r w:rsidRPr="00AF0CED">
              <w:rPr>
                <w:color w:val="auto"/>
              </w:rPr>
              <w:t xml:space="preserve"> ± 0.01</w:t>
            </w:r>
            <w:r w:rsidRPr="00AF0CED">
              <w:rPr>
                <w:color w:val="auto"/>
                <w:vertAlign w:val="superscript"/>
              </w:rPr>
              <w:t>a</w:t>
            </w:r>
          </w:p>
        </w:tc>
        <w:tc>
          <w:tcPr>
            <w:tcW w:w="1701" w:type="dxa"/>
          </w:tcPr>
          <w:p w14:paraId="2B1350D8" w14:textId="77777777" w:rsidR="002D3C02" w:rsidRPr="00AF0CED" w:rsidRDefault="002D3C02" w:rsidP="00573324">
            <w:pPr>
              <w:spacing w:line="360" w:lineRule="auto"/>
              <w:jc w:val="both"/>
              <w:rPr>
                <w:color w:val="auto"/>
              </w:rPr>
            </w:pPr>
            <w:r w:rsidRPr="00AF0CED">
              <w:rPr>
                <w:color w:val="auto"/>
              </w:rPr>
              <w:t>1.82 ± 0.0</w:t>
            </w:r>
            <w:r>
              <w:rPr>
                <w:color w:val="auto"/>
              </w:rPr>
              <w:t>3</w:t>
            </w:r>
            <w:r w:rsidRPr="00AF0CED">
              <w:rPr>
                <w:color w:val="auto"/>
                <w:vertAlign w:val="superscript"/>
              </w:rPr>
              <w:t>c</w:t>
            </w:r>
          </w:p>
        </w:tc>
        <w:tc>
          <w:tcPr>
            <w:tcW w:w="1700" w:type="dxa"/>
          </w:tcPr>
          <w:p w14:paraId="1F112E89" w14:textId="77777777" w:rsidR="002D3C02" w:rsidRPr="00AF0CED" w:rsidRDefault="002D3C02" w:rsidP="00573324">
            <w:pPr>
              <w:spacing w:line="360" w:lineRule="auto"/>
              <w:jc w:val="both"/>
              <w:rPr>
                <w:color w:val="auto"/>
              </w:rPr>
            </w:pPr>
            <w:r w:rsidRPr="00AF0CED">
              <w:rPr>
                <w:color w:val="auto"/>
              </w:rPr>
              <w:t>1.38 ± 0.0</w:t>
            </w:r>
            <w:r>
              <w:rPr>
                <w:color w:val="auto"/>
              </w:rPr>
              <w:t>2</w:t>
            </w:r>
            <w:r w:rsidRPr="00AF0CED">
              <w:rPr>
                <w:color w:val="auto"/>
                <w:vertAlign w:val="superscript"/>
              </w:rPr>
              <w:t>a</w:t>
            </w:r>
          </w:p>
        </w:tc>
      </w:tr>
      <w:tr w:rsidR="002D3C02" w:rsidRPr="00AF0CED" w14:paraId="0855030E" w14:textId="77777777" w:rsidTr="00573324">
        <w:tc>
          <w:tcPr>
            <w:tcW w:w="2547" w:type="dxa"/>
          </w:tcPr>
          <w:p w14:paraId="4C1B5B83" w14:textId="77777777" w:rsidR="002D3C02" w:rsidRPr="00AF0CED" w:rsidRDefault="002D3C02" w:rsidP="00573324">
            <w:pPr>
              <w:spacing w:line="360" w:lineRule="auto"/>
              <w:jc w:val="both"/>
              <w:rPr>
                <w:bCs/>
                <w:color w:val="auto"/>
              </w:rPr>
            </w:pPr>
            <w:r w:rsidRPr="00AF0CED">
              <w:rPr>
                <w:bCs/>
                <w:color w:val="auto"/>
              </w:rPr>
              <w:t xml:space="preserve">Vigna subterranea </w:t>
            </w:r>
          </w:p>
          <w:p w14:paraId="50929777" w14:textId="77777777" w:rsidR="002D3C02" w:rsidRPr="00AF0CED" w:rsidRDefault="002D3C02" w:rsidP="00573324">
            <w:pPr>
              <w:spacing w:line="360" w:lineRule="auto"/>
              <w:jc w:val="both"/>
              <w:rPr>
                <w:bCs/>
                <w:color w:val="auto"/>
              </w:rPr>
            </w:pPr>
            <w:r w:rsidRPr="00AF0CED">
              <w:rPr>
                <w:bCs/>
                <w:color w:val="auto"/>
              </w:rPr>
              <w:t>(150 mg/kg)</w:t>
            </w:r>
          </w:p>
        </w:tc>
        <w:tc>
          <w:tcPr>
            <w:tcW w:w="1701" w:type="dxa"/>
          </w:tcPr>
          <w:p w14:paraId="22C99922" w14:textId="77777777" w:rsidR="002D3C02" w:rsidRPr="00AF0CED" w:rsidRDefault="002D3C02" w:rsidP="00573324">
            <w:pPr>
              <w:spacing w:line="360" w:lineRule="auto"/>
              <w:jc w:val="both"/>
              <w:rPr>
                <w:color w:val="auto"/>
                <w:vertAlign w:val="superscript"/>
              </w:rPr>
            </w:pPr>
            <w:r w:rsidRPr="00AF0CED">
              <w:rPr>
                <w:color w:val="auto"/>
              </w:rPr>
              <w:t>0.5</w:t>
            </w:r>
            <w:r>
              <w:rPr>
                <w:color w:val="auto"/>
              </w:rPr>
              <w:t>8</w:t>
            </w:r>
            <w:r w:rsidRPr="00AF0CED">
              <w:rPr>
                <w:color w:val="auto"/>
              </w:rPr>
              <w:t xml:space="preserve"> ± 0.0</w:t>
            </w:r>
            <w:r>
              <w:rPr>
                <w:color w:val="auto"/>
              </w:rPr>
              <w:t>2</w:t>
            </w:r>
            <w:r w:rsidRPr="00AF0CED">
              <w:rPr>
                <w:color w:val="auto"/>
                <w:vertAlign w:val="superscript"/>
              </w:rPr>
              <w:t>a</w:t>
            </w:r>
          </w:p>
          <w:p w14:paraId="2B046C38" w14:textId="77777777" w:rsidR="002D3C02" w:rsidRPr="00AF0CED" w:rsidRDefault="002D3C02" w:rsidP="00573324">
            <w:pPr>
              <w:spacing w:line="360" w:lineRule="auto"/>
              <w:jc w:val="both"/>
              <w:rPr>
                <w:color w:val="auto"/>
              </w:rPr>
            </w:pPr>
          </w:p>
        </w:tc>
        <w:tc>
          <w:tcPr>
            <w:tcW w:w="1701" w:type="dxa"/>
          </w:tcPr>
          <w:p w14:paraId="63B86307" w14:textId="77777777" w:rsidR="002D3C02" w:rsidRPr="00AF0CED" w:rsidRDefault="002D3C02" w:rsidP="00573324">
            <w:pPr>
              <w:spacing w:line="360" w:lineRule="auto"/>
              <w:jc w:val="both"/>
              <w:rPr>
                <w:color w:val="auto"/>
              </w:rPr>
            </w:pPr>
            <w:r w:rsidRPr="00AF0CED">
              <w:rPr>
                <w:color w:val="auto"/>
              </w:rPr>
              <w:t>3.12 ± 0.04</w:t>
            </w:r>
            <w:r w:rsidRPr="00AF0CED">
              <w:rPr>
                <w:color w:val="auto"/>
                <w:vertAlign w:val="superscript"/>
              </w:rPr>
              <w:t>a</w:t>
            </w:r>
          </w:p>
        </w:tc>
        <w:tc>
          <w:tcPr>
            <w:tcW w:w="1701" w:type="dxa"/>
          </w:tcPr>
          <w:p w14:paraId="33BBF6B5" w14:textId="77777777" w:rsidR="002D3C02" w:rsidRPr="00AF0CED" w:rsidRDefault="002D3C02" w:rsidP="00573324">
            <w:pPr>
              <w:spacing w:line="360" w:lineRule="auto"/>
              <w:jc w:val="both"/>
              <w:rPr>
                <w:color w:val="auto"/>
              </w:rPr>
            </w:pPr>
            <w:r w:rsidRPr="00AF0CED">
              <w:rPr>
                <w:color w:val="auto"/>
              </w:rPr>
              <w:t>2.2</w:t>
            </w:r>
            <w:r>
              <w:rPr>
                <w:color w:val="auto"/>
              </w:rPr>
              <w:t>6</w:t>
            </w:r>
            <w:r w:rsidRPr="00AF0CED">
              <w:rPr>
                <w:color w:val="auto"/>
              </w:rPr>
              <w:t xml:space="preserve"> ± 0.03</w:t>
            </w:r>
            <w:r w:rsidRPr="00AF0CED">
              <w:rPr>
                <w:color w:val="auto"/>
                <w:vertAlign w:val="superscript"/>
              </w:rPr>
              <w:t>a</w:t>
            </w:r>
          </w:p>
        </w:tc>
        <w:tc>
          <w:tcPr>
            <w:tcW w:w="1700" w:type="dxa"/>
          </w:tcPr>
          <w:p w14:paraId="4CF45E90" w14:textId="77777777" w:rsidR="002D3C02" w:rsidRPr="00AF0CED" w:rsidRDefault="002D3C02" w:rsidP="00573324">
            <w:pPr>
              <w:spacing w:line="360" w:lineRule="auto"/>
              <w:jc w:val="both"/>
              <w:rPr>
                <w:color w:val="auto"/>
                <w:vertAlign w:val="superscript"/>
              </w:rPr>
            </w:pPr>
            <w:r w:rsidRPr="00AF0CED">
              <w:rPr>
                <w:color w:val="auto"/>
              </w:rPr>
              <w:t>1.43 ± 0.1</w:t>
            </w:r>
            <w:r>
              <w:rPr>
                <w:color w:val="auto"/>
              </w:rPr>
              <w:t>4</w:t>
            </w:r>
            <w:r w:rsidRPr="00AF0CED">
              <w:rPr>
                <w:color w:val="auto"/>
                <w:vertAlign w:val="superscript"/>
              </w:rPr>
              <w:t>a</w:t>
            </w:r>
          </w:p>
          <w:p w14:paraId="55DC87DD" w14:textId="77777777" w:rsidR="002D3C02" w:rsidRPr="00AF0CED" w:rsidRDefault="002D3C02" w:rsidP="00573324">
            <w:pPr>
              <w:spacing w:line="360" w:lineRule="auto"/>
              <w:jc w:val="both"/>
              <w:rPr>
                <w:color w:val="auto"/>
              </w:rPr>
            </w:pPr>
          </w:p>
        </w:tc>
      </w:tr>
      <w:tr w:rsidR="002D3C02" w:rsidRPr="00AF0CED" w14:paraId="065D760B" w14:textId="77777777" w:rsidTr="00573324">
        <w:tc>
          <w:tcPr>
            <w:tcW w:w="2547" w:type="dxa"/>
          </w:tcPr>
          <w:p w14:paraId="4062D46D" w14:textId="77777777" w:rsidR="002D3C02" w:rsidRPr="00AF0CED" w:rsidRDefault="002D3C02" w:rsidP="00573324">
            <w:pPr>
              <w:spacing w:line="360" w:lineRule="auto"/>
              <w:jc w:val="both"/>
              <w:rPr>
                <w:bCs/>
                <w:color w:val="auto"/>
              </w:rPr>
            </w:pPr>
            <w:r w:rsidRPr="00AF0CED">
              <w:rPr>
                <w:bCs/>
                <w:color w:val="auto"/>
              </w:rPr>
              <w:t xml:space="preserve">Vigna subterranea </w:t>
            </w:r>
          </w:p>
          <w:p w14:paraId="2A7C371C" w14:textId="77777777" w:rsidR="002D3C02" w:rsidRPr="00AF0CED" w:rsidRDefault="002D3C02" w:rsidP="00573324">
            <w:pPr>
              <w:spacing w:line="360" w:lineRule="auto"/>
              <w:jc w:val="both"/>
              <w:rPr>
                <w:bCs/>
                <w:color w:val="auto"/>
              </w:rPr>
            </w:pPr>
            <w:r w:rsidRPr="00AF0CED">
              <w:rPr>
                <w:bCs/>
                <w:color w:val="auto"/>
              </w:rPr>
              <w:t>(300 mg/kg)</w:t>
            </w:r>
          </w:p>
        </w:tc>
        <w:tc>
          <w:tcPr>
            <w:tcW w:w="1701" w:type="dxa"/>
          </w:tcPr>
          <w:p w14:paraId="7A5AFB05" w14:textId="77777777" w:rsidR="002D3C02" w:rsidRPr="00AF0CED" w:rsidRDefault="002D3C02" w:rsidP="00573324">
            <w:pPr>
              <w:spacing w:line="360" w:lineRule="auto"/>
              <w:jc w:val="both"/>
              <w:rPr>
                <w:color w:val="auto"/>
              </w:rPr>
            </w:pPr>
            <w:r w:rsidRPr="00AF0CED">
              <w:rPr>
                <w:color w:val="auto"/>
              </w:rPr>
              <w:t>0.62 ± 0.0</w:t>
            </w:r>
            <w:r>
              <w:rPr>
                <w:color w:val="auto"/>
              </w:rPr>
              <w:t>7</w:t>
            </w:r>
            <w:r w:rsidRPr="00AF0CED">
              <w:rPr>
                <w:color w:val="auto"/>
                <w:vertAlign w:val="superscript"/>
              </w:rPr>
              <w:t>a</w:t>
            </w:r>
          </w:p>
        </w:tc>
        <w:tc>
          <w:tcPr>
            <w:tcW w:w="1701" w:type="dxa"/>
          </w:tcPr>
          <w:p w14:paraId="0F5CE475" w14:textId="77777777" w:rsidR="002D3C02" w:rsidRPr="00AF0CED" w:rsidRDefault="002D3C02" w:rsidP="00573324">
            <w:pPr>
              <w:spacing w:line="360" w:lineRule="auto"/>
              <w:jc w:val="both"/>
              <w:rPr>
                <w:color w:val="auto"/>
              </w:rPr>
            </w:pPr>
            <w:r w:rsidRPr="00AF0CED">
              <w:rPr>
                <w:color w:val="auto"/>
              </w:rPr>
              <w:t>0.7</w:t>
            </w:r>
            <w:r>
              <w:rPr>
                <w:color w:val="auto"/>
              </w:rPr>
              <w:t>4</w:t>
            </w:r>
            <w:r w:rsidRPr="00AF0CED">
              <w:rPr>
                <w:color w:val="auto"/>
              </w:rPr>
              <w:t xml:space="preserve"> ± 0.06</w:t>
            </w:r>
            <w:r w:rsidRPr="00AF0CED">
              <w:rPr>
                <w:color w:val="auto"/>
                <w:vertAlign w:val="superscript"/>
              </w:rPr>
              <w:t>b</w:t>
            </w:r>
          </w:p>
        </w:tc>
        <w:tc>
          <w:tcPr>
            <w:tcW w:w="1701" w:type="dxa"/>
          </w:tcPr>
          <w:p w14:paraId="79B516DF" w14:textId="77777777" w:rsidR="002D3C02" w:rsidRPr="00AF0CED" w:rsidRDefault="002D3C02" w:rsidP="00573324">
            <w:pPr>
              <w:spacing w:line="360" w:lineRule="auto"/>
              <w:jc w:val="both"/>
              <w:rPr>
                <w:color w:val="auto"/>
              </w:rPr>
            </w:pPr>
            <w:r w:rsidRPr="00AF0CED">
              <w:rPr>
                <w:color w:val="auto"/>
              </w:rPr>
              <w:t>1.58 ± 0.</w:t>
            </w:r>
            <w:r>
              <w:rPr>
                <w:color w:val="auto"/>
              </w:rPr>
              <w:t>10</w:t>
            </w:r>
            <w:r w:rsidRPr="00AF0CED">
              <w:rPr>
                <w:color w:val="auto"/>
                <w:vertAlign w:val="superscript"/>
              </w:rPr>
              <w:t>c</w:t>
            </w:r>
          </w:p>
        </w:tc>
        <w:tc>
          <w:tcPr>
            <w:tcW w:w="1700" w:type="dxa"/>
          </w:tcPr>
          <w:p w14:paraId="333B55F5" w14:textId="77777777" w:rsidR="002D3C02" w:rsidRPr="00AF0CED" w:rsidRDefault="002D3C02" w:rsidP="00573324">
            <w:pPr>
              <w:spacing w:line="360" w:lineRule="auto"/>
              <w:jc w:val="both"/>
              <w:rPr>
                <w:color w:val="auto"/>
              </w:rPr>
            </w:pPr>
            <w:r w:rsidRPr="00AF0CED">
              <w:rPr>
                <w:color w:val="auto"/>
              </w:rPr>
              <w:t>1.48 ± 0.0</w:t>
            </w:r>
            <w:r>
              <w:rPr>
                <w:color w:val="auto"/>
              </w:rPr>
              <w:t>8</w:t>
            </w:r>
            <w:r w:rsidRPr="00AF0CED">
              <w:rPr>
                <w:color w:val="auto"/>
                <w:vertAlign w:val="superscript"/>
              </w:rPr>
              <w:t>a</w:t>
            </w:r>
          </w:p>
        </w:tc>
      </w:tr>
    </w:tbl>
    <w:p w14:paraId="4A8635E6" w14:textId="77777777" w:rsidR="002D3C02" w:rsidRPr="00AF0CED" w:rsidRDefault="002D3C02" w:rsidP="002D3C02">
      <w:pPr>
        <w:spacing w:line="360" w:lineRule="auto"/>
        <w:jc w:val="both"/>
      </w:pPr>
      <w:r w:rsidRPr="00AF0CED">
        <w:t>Values are expressed as means ± SEM. Means sharing common letter(s) in the same column are not significantly different (p &lt; 0.05).</w:t>
      </w:r>
    </w:p>
    <w:p w14:paraId="19CE9159" w14:textId="77777777" w:rsidR="002D3C02" w:rsidRPr="00AF0CED" w:rsidRDefault="002D3C02" w:rsidP="002D3C02">
      <w:pPr>
        <w:spacing w:line="360" w:lineRule="auto"/>
        <w:jc w:val="both"/>
      </w:pPr>
    </w:p>
    <w:p w14:paraId="24AAC02D" w14:textId="30EAEF42" w:rsidR="002D3C02" w:rsidRPr="00AF0CED" w:rsidRDefault="002D3C02" w:rsidP="002D3C02">
      <w:pPr>
        <w:spacing w:line="360" w:lineRule="auto"/>
        <w:jc w:val="both"/>
      </w:pPr>
      <w:r w:rsidRPr="00AF0CED">
        <w:rPr>
          <w:b/>
        </w:rPr>
        <w:t xml:space="preserve">Table 3. </w:t>
      </w:r>
      <w:r w:rsidRPr="00AF0CED">
        <w:t xml:space="preserve">Effect of n-butanol fraction of plants on high density lipoprotein levels </w:t>
      </w:r>
      <w:r>
        <w:t xml:space="preserve">of rats </w:t>
      </w:r>
      <w:r w:rsidRPr="00AF0CED">
        <w:t>(mmol/L)</w:t>
      </w:r>
    </w:p>
    <w:tbl>
      <w:tblPr>
        <w:tblStyle w:val="ListTable6Colorful"/>
        <w:tblW w:w="0" w:type="auto"/>
        <w:tblLook w:val="0620" w:firstRow="1" w:lastRow="0" w:firstColumn="0" w:lastColumn="0" w:noHBand="1" w:noVBand="1"/>
      </w:tblPr>
      <w:tblGrid>
        <w:gridCol w:w="2697"/>
        <w:gridCol w:w="1657"/>
        <w:gridCol w:w="1660"/>
        <w:gridCol w:w="1676"/>
        <w:gridCol w:w="1660"/>
      </w:tblGrid>
      <w:tr w:rsidR="002D3C02" w:rsidRPr="00AF0CED" w14:paraId="69FA4FA8" w14:textId="77777777" w:rsidTr="00573324">
        <w:trPr>
          <w:cnfStyle w:val="100000000000" w:firstRow="1" w:lastRow="0" w:firstColumn="0" w:lastColumn="0" w:oddVBand="0" w:evenVBand="0" w:oddHBand="0" w:evenHBand="0" w:firstRowFirstColumn="0" w:firstRowLastColumn="0" w:lastRowFirstColumn="0" w:lastRowLastColumn="0"/>
        </w:trPr>
        <w:tc>
          <w:tcPr>
            <w:tcW w:w="2697" w:type="dxa"/>
          </w:tcPr>
          <w:p w14:paraId="459B44B5" w14:textId="77777777" w:rsidR="002D3C02" w:rsidRPr="00AF0CED" w:rsidRDefault="002D3C02" w:rsidP="00573324">
            <w:pPr>
              <w:spacing w:line="360" w:lineRule="auto"/>
              <w:jc w:val="both"/>
              <w:rPr>
                <w:color w:val="auto"/>
              </w:rPr>
            </w:pPr>
            <w:r w:rsidRPr="00AF0CED">
              <w:rPr>
                <w:color w:val="auto"/>
              </w:rPr>
              <w:t>Treatment</w:t>
            </w:r>
          </w:p>
        </w:tc>
        <w:tc>
          <w:tcPr>
            <w:tcW w:w="1657" w:type="dxa"/>
          </w:tcPr>
          <w:p w14:paraId="70A79CBB" w14:textId="77777777" w:rsidR="002D3C02" w:rsidRPr="00AF0CED" w:rsidRDefault="002D3C02" w:rsidP="00573324">
            <w:pPr>
              <w:spacing w:line="360" w:lineRule="auto"/>
              <w:jc w:val="both"/>
              <w:rPr>
                <w:color w:val="auto"/>
              </w:rPr>
            </w:pPr>
            <w:r w:rsidRPr="00AF0CED">
              <w:rPr>
                <w:color w:val="auto"/>
              </w:rPr>
              <w:t>0 h</w:t>
            </w:r>
          </w:p>
        </w:tc>
        <w:tc>
          <w:tcPr>
            <w:tcW w:w="1660" w:type="dxa"/>
          </w:tcPr>
          <w:p w14:paraId="6934AEFD" w14:textId="77777777" w:rsidR="002D3C02" w:rsidRPr="00AF0CED" w:rsidRDefault="002D3C02" w:rsidP="00573324">
            <w:pPr>
              <w:spacing w:line="360" w:lineRule="auto"/>
              <w:jc w:val="both"/>
              <w:rPr>
                <w:color w:val="auto"/>
              </w:rPr>
            </w:pPr>
            <w:r w:rsidRPr="00AF0CED">
              <w:rPr>
                <w:color w:val="auto"/>
              </w:rPr>
              <w:t>3 h</w:t>
            </w:r>
          </w:p>
        </w:tc>
        <w:tc>
          <w:tcPr>
            <w:tcW w:w="1676" w:type="dxa"/>
          </w:tcPr>
          <w:p w14:paraId="2529FFE5" w14:textId="77777777" w:rsidR="002D3C02" w:rsidRPr="00AF0CED" w:rsidRDefault="002D3C02" w:rsidP="00573324">
            <w:pPr>
              <w:spacing w:line="360" w:lineRule="auto"/>
              <w:jc w:val="both"/>
              <w:rPr>
                <w:color w:val="auto"/>
              </w:rPr>
            </w:pPr>
            <w:r w:rsidRPr="00AF0CED">
              <w:rPr>
                <w:color w:val="auto"/>
              </w:rPr>
              <w:t>24 h</w:t>
            </w:r>
          </w:p>
        </w:tc>
        <w:tc>
          <w:tcPr>
            <w:tcW w:w="1660" w:type="dxa"/>
          </w:tcPr>
          <w:p w14:paraId="574AC1D1" w14:textId="77777777" w:rsidR="002D3C02" w:rsidRPr="00AF0CED" w:rsidRDefault="002D3C02" w:rsidP="00573324">
            <w:pPr>
              <w:spacing w:line="360" w:lineRule="auto"/>
              <w:jc w:val="both"/>
              <w:rPr>
                <w:color w:val="auto"/>
              </w:rPr>
            </w:pPr>
            <w:r w:rsidRPr="00AF0CED">
              <w:rPr>
                <w:color w:val="auto"/>
              </w:rPr>
              <w:t>48 h</w:t>
            </w:r>
          </w:p>
        </w:tc>
      </w:tr>
      <w:tr w:rsidR="002D3C02" w:rsidRPr="00AF0CED" w14:paraId="19AC7199" w14:textId="77777777" w:rsidTr="00573324">
        <w:tc>
          <w:tcPr>
            <w:tcW w:w="2697" w:type="dxa"/>
          </w:tcPr>
          <w:p w14:paraId="42CECCFA" w14:textId="77777777" w:rsidR="002D3C02" w:rsidRPr="00AF0CED" w:rsidRDefault="002D3C02" w:rsidP="00573324">
            <w:pPr>
              <w:spacing w:line="360" w:lineRule="auto"/>
              <w:jc w:val="both"/>
              <w:rPr>
                <w:b/>
                <w:color w:val="auto"/>
              </w:rPr>
            </w:pPr>
            <w:r w:rsidRPr="00AF0CED">
              <w:rPr>
                <w:bCs/>
                <w:color w:val="auto"/>
              </w:rPr>
              <w:t>Normal Control</w:t>
            </w:r>
          </w:p>
        </w:tc>
        <w:tc>
          <w:tcPr>
            <w:tcW w:w="1657" w:type="dxa"/>
          </w:tcPr>
          <w:p w14:paraId="129A70B5" w14:textId="77777777" w:rsidR="002D3C02" w:rsidRPr="00AF0CED" w:rsidRDefault="002D3C02" w:rsidP="00573324">
            <w:pPr>
              <w:spacing w:line="360" w:lineRule="auto"/>
              <w:jc w:val="both"/>
              <w:rPr>
                <w:color w:val="auto"/>
              </w:rPr>
            </w:pPr>
            <w:r w:rsidRPr="00AF0CED">
              <w:rPr>
                <w:color w:val="auto"/>
                <w:lang w:eastAsia="en-GB"/>
              </w:rPr>
              <w:t>0.</w:t>
            </w:r>
            <w:r>
              <w:rPr>
                <w:color w:val="auto"/>
                <w:lang w:eastAsia="en-GB"/>
              </w:rPr>
              <w:t>40</w:t>
            </w:r>
            <w:r w:rsidRPr="00AF0CED">
              <w:rPr>
                <w:color w:val="auto"/>
                <w:lang w:eastAsia="en-GB"/>
              </w:rPr>
              <w:t xml:space="preserve"> ± 0.0</w:t>
            </w:r>
            <w:r>
              <w:rPr>
                <w:color w:val="auto"/>
                <w:lang w:eastAsia="en-GB"/>
              </w:rPr>
              <w:t>1</w:t>
            </w:r>
            <w:r w:rsidRPr="00AF0CED">
              <w:rPr>
                <w:color w:val="auto"/>
                <w:vertAlign w:val="superscript"/>
                <w:lang w:eastAsia="en-GB"/>
              </w:rPr>
              <w:t>a</w:t>
            </w:r>
          </w:p>
        </w:tc>
        <w:tc>
          <w:tcPr>
            <w:tcW w:w="1660" w:type="dxa"/>
          </w:tcPr>
          <w:p w14:paraId="49E29A15" w14:textId="77777777" w:rsidR="002D3C02" w:rsidRPr="00AF0CED" w:rsidRDefault="002D3C02" w:rsidP="00573324">
            <w:pPr>
              <w:spacing w:line="360" w:lineRule="auto"/>
              <w:jc w:val="both"/>
              <w:rPr>
                <w:color w:val="auto"/>
              </w:rPr>
            </w:pPr>
            <w:r w:rsidRPr="00AF0CED">
              <w:rPr>
                <w:color w:val="auto"/>
                <w:lang w:eastAsia="en-GB"/>
              </w:rPr>
              <w:t>0.42 ± 0.0</w:t>
            </w:r>
            <w:r>
              <w:rPr>
                <w:color w:val="auto"/>
                <w:lang w:eastAsia="en-GB"/>
              </w:rPr>
              <w:t>1</w:t>
            </w:r>
            <w:r w:rsidRPr="00AF0CED">
              <w:rPr>
                <w:color w:val="auto"/>
                <w:vertAlign w:val="superscript"/>
                <w:lang w:eastAsia="en-GB"/>
              </w:rPr>
              <w:t>b</w:t>
            </w:r>
          </w:p>
        </w:tc>
        <w:tc>
          <w:tcPr>
            <w:tcW w:w="1676" w:type="dxa"/>
          </w:tcPr>
          <w:p w14:paraId="153DF8AA" w14:textId="77777777" w:rsidR="002D3C02" w:rsidRPr="00AF0CED" w:rsidRDefault="002D3C02" w:rsidP="00573324">
            <w:pPr>
              <w:spacing w:line="360" w:lineRule="auto"/>
              <w:jc w:val="both"/>
              <w:rPr>
                <w:color w:val="auto"/>
              </w:rPr>
            </w:pPr>
            <w:r w:rsidRPr="00AF0CED">
              <w:rPr>
                <w:color w:val="auto"/>
                <w:lang w:eastAsia="en-GB"/>
              </w:rPr>
              <w:t>0.</w:t>
            </w:r>
            <w:r>
              <w:rPr>
                <w:color w:val="auto"/>
                <w:lang w:eastAsia="en-GB"/>
              </w:rPr>
              <w:t>40</w:t>
            </w:r>
            <w:r w:rsidRPr="00AF0CED">
              <w:rPr>
                <w:color w:val="auto"/>
                <w:lang w:eastAsia="en-GB"/>
              </w:rPr>
              <w:t xml:space="preserve"> ± 0.0</w:t>
            </w:r>
            <w:r>
              <w:rPr>
                <w:color w:val="auto"/>
                <w:lang w:eastAsia="en-GB"/>
              </w:rPr>
              <w:t>1</w:t>
            </w:r>
            <w:r w:rsidRPr="00AF0CED">
              <w:rPr>
                <w:color w:val="auto"/>
                <w:vertAlign w:val="superscript"/>
                <w:lang w:eastAsia="en-GB"/>
              </w:rPr>
              <w:t>b</w:t>
            </w:r>
          </w:p>
        </w:tc>
        <w:tc>
          <w:tcPr>
            <w:tcW w:w="1660" w:type="dxa"/>
          </w:tcPr>
          <w:p w14:paraId="05794DDB" w14:textId="77777777" w:rsidR="002D3C02" w:rsidRPr="00AF0CED" w:rsidRDefault="002D3C02" w:rsidP="00573324">
            <w:pPr>
              <w:spacing w:line="360" w:lineRule="auto"/>
              <w:jc w:val="both"/>
              <w:rPr>
                <w:color w:val="auto"/>
                <w:lang w:eastAsia="en-GB"/>
              </w:rPr>
            </w:pPr>
            <w:r w:rsidRPr="00AF0CED">
              <w:rPr>
                <w:color w:val="auto"/>
                <w:lang w:eastAsia="en-GB"/>
              </w:rPr>
              <w:t>0.4</w:t>
            </w:r>
            <w:r>
              <w:rPr>
                <w:color w:val="auto"/>
                <w:lang w:eastAsia="en-GB"/>
              </w:rPr>
              <w:t>1</w:t>
            </w:r>
            <w:r w:rsidRPr="00AF0CED">
              <w:rPr>
                <w:color w:val="auto"/>
                <w:lang w:eastAsia="en-GB"/>
              </w:rPr>
              <w:t xml:space="preserve"> ± 0.0</w:t>
            </w:r>
            <w:r>
              <w:rPr>
                <w:color w:val="auto"/>
                <w:lang w:eastAsia="en-GB"/>
              </w:rPr>
              <w:t>2</w:t>
            </w:r>
            <w:r w:rsidRPr="00AF0CED">
              <w:rPr>
                <w:color w:val="auto"/>
                <w:vertAlign w:val="superscript"/>
                <w:lang w:eastAsia="en-GB"/>
              </w:rPr>
              <w:t>b</w:t>
            </w:r>
          </w:p>
        </w:tc>
      </w:tr>
      <w:tr w:rsidR="002D3C02" w:rsidRPr="00AF0CED" w14:paraId="2B4B0D7C" w14:textId="77777777" w:rsidTr="00573324">
        <w:tc>
          <w:tcPr>
            <w:tcW w:w="2697" w:type="dxa"/>
          </w:tcPr>
          <w:p w14:paraId="078EC66A" w14:textId="77777777" w:rsidR="002D3C02" w:rsidRPr="00AF0CED" w:rsidRDefault="002D3C02" w:rsidP="00573324">
            <w:pPr>
              <w:spacing w:line="360" w:lineRule="auto"/>
              <w:jc w:val="both"/>
              <w:rPr>
                <w:b/>
                <w:color w:val="auto"/>
              </w:rPr>
            </w:pPr>
            <w:r w:rsidRPr="00AF0CED">
              <w:rPr>
                <w:bCs/>
                <w:color w:val="auto"/>
              </w:rPr>
              <w:t>Hyperlipidemic control</w:t>
            </w:r>
          </w:p>
        </w:tc>
        <w:tc>
          <w:tcPr>
            <w:tcW w:w="1657" w:type="dxa"/>
          </w:tcPr>
          <w:p w14:paraId="0B5E7D18" w14:textId="77777777" w:rsidR="002D3C02" w:rsidRPr="00AF0CED" w:rsidRDefault="002D3C02" w:rsidP="00573324">
            <w:pPr>
              <w:spacing w:line="360" w:lineRule="auto"/>
              <w:jc w:val="both"/>
              <w:rPr>
                <w:color w:val="auto"/>
                <w:vertAlign w:val="superscript"/>
                <w:lang w:eastAsia="en-GB"/>
              </w:rPr>
            </w:pPr>
            <w:r w:rsidRPr="00AF0CED">
              <w:rPr>
                <w:color w:val="auto"/>
                <w:lang w:eastAsia="en-GB"/>
              </w:rPr>
              <w:t>0.4</w:t>
            </w:r>
            <w:r>
              <w:rPr>
                <w:color w:val="auto"/>
                <w:lang w:eastAsia="en-GB"/>
              </w:rPr>
              <w:t>2</w:t>
            </w:r>
            <w:r w:rsidRPr="00AF0CED">
              <w:rPr>
                <w:color w:val="auto"/>
                <w:lang w:eastAsia="en-GB"/>
              </w:rPr>
              <w:t xml:space="preserve"> ± 0.0</w:t>
            </w:r>
            <w:r>
              <w:rPr>
                <w:color w:val="auto"/>
                <w:lang w:eastAsia="en-GB"/>
              </w:rPr>
              <w:t>2</w:t>
            </w:r>
            <w:r w:rsidRPr="00AF0CED">
              <w:rPr>
                <w:color w:val="auto"/>
                <w:vertAlign w:val="superscript"/>
                <w:lang w:eastAsia="en-GB"/>
              </w:rPr>
              <w:t>a</w:t>
            </w:r>
          </w:p>
        </w:tc>
        <w:tc>
          <w:tcPr>
            <w:tcW w:w="1660" w:type="dxa"/>
          </w:tcPr>
          <w:p w14:paraId="42F1B81E" w14:textId="77777777" w:rsidR="002D3C02" w:rsidRPr="00AF0CED" w:rsidRDefault="002D3C02" w:rsidP="00573324">
            <w:pPr>
              <w:spacing w:line="360" w:lineRule="auto"/>
              <w:jc w:val="both"/>
              <w:rPr>
                <w:color w:val="auto"/>
                <w:vertAlign w:val="superscript"/>
                <w:lang w:eastAsia="en-GB"/>
              </w:rPr>
            </w:pPr>
            <w:r w:rsidRPr="00AF0CED">
              <w:rPr>
                <w:color w:val="auto"/>
                <w:lang w:eastAsia="en-GB"/>
              </w:rPr>
              <w:t>0.4</w:t>
            </w:r>
            <w:r>
              <w:rPr>
                <w:color w:val="auto"/>
                <w:lang w:eastAsia="en-GB"/>
              </w:rPr>
              <w:t>6</w:t>
            </w:r>
            <w:r w:rsidRPr="00AF0CED">
              <w:rPr>
                <w:color w:val="auto"/>
                <w:lang w:eastAsia="en-GB"/>
              </w:rPr>
              <w:t xml:space="preserve"> ± 0.0</w:t>
            </w:r>
            <w:r>
              <w:rPr>
                <w:color w:val="auto"/>
                <w:lang w:eastAsia="en-GB"/>
              </w:rPr>
              <w:t>1</w:t>
            </w:r>
            <w:r w:rsidRPr="00AF0CED">
              <w:rPr>
                <w:color w:val="auto"/>
                <w:vertAlign w:val="superscript"/>
                <w:lang w:eastAsia="en-GB"/>
              </w:rPr>
              <w:t>b</w:t>
            </w:r>
          </w:p>
        </w:tc>
        <w:tc>
          <w:tcPr>
            <w:tcW w:w="1676" w:type="dxa"/>
          </w:tcPr>
          <w:p w14:paraId="4E312BCB" w14:textId="77777777" w:rsidR="002D3C02" w:rsidRPr="00AF0CED" w:rsidRDefault="002D3C02" w:rsidP="00573324">
            <w:pPr>
              <w:spacing w:line="360" w:lineRule="auto"/>
              <w:jc w:val="both"/>
              <w:rPr>
                <w:color w:val="auto"/>
              </w:rPr>
            </w:pPr>
            <w:r w:rsidRPr="00AF0CED">
              <w:rPr>
                <w:color w:val="auto"/>
                <w:lang w:eastAsia="en-GB"/>
              </w:rPr>
              <w:t>2.53 ± 0.0</w:t>
            </w:r>
            <w:r>
              <w:rPr>
                <w:color w:val="auto"/>
                <w:lang w:eastAsia="en-GB"/>
              </w:rPr>
              <w:t>2</w:t>
            </w:r>
            <w:r w:rsidRPr="00AF0CED">
              <w:rPr>
                <w:color w:val="auto"/>
                <w:vertAlign w:val="superscript"/>
                <w:lang w:eastAsia="en-GB"/>
              </w:rPr>
              <w:t>a</w:t>
            </w:r>
          </w:p>
        </w:tc>
        <w:tc>
          <w:tcPr>
            <w:tcW w:w="1660" w:type="dxa"/>
          </w:tcPr>
          <w:p w14:paraId="4F69DCDE" w14:textId="77777777" w:rsidR="002D3C02" w:rsidRPr="00AF0CED" w:rsidRDefault="002D3C02" w:rsidP="00573324">
            <w:pPr>
              <w:spacing w:line="360" w:lineRule="auto"/>
              <w:jc w:val="both"/>
              <w:rPr>
                <w:color w:val="auto"/>
              </w:rPr>
            </w:pPr>
            <w:r w:rsidRPr="00AF0CED">
              <w:rPr>
                <w:color w:val="auto"/>
                <w:lang w:eastAsia="en-GB"/>
              </w:rPr>
              <w:t>2.56 ± 0.03</w:t>
            </w:r>
            <w:r w:rsidRPr="00AF0CED">
              <w:rPr>
                <w:color w:val="auto"/>
                <w:vertAlign w:val="superscript"/>
                <w:lang w:eastAsia="en-GB"/>
              </w:rPr>
              <w:t>a</w:t>
            </w:r>
          </w:p>
        </w:tc>
      </w:tr>
      <w:tr w:rsidR="002D3C02" w:rsidRPr="00AF0CED" w14:paraId="2C27F4E9" w14:textId="77777777" w:rsidTr="00573324">
        <w:tc>
          <w:tcPr>
            <w:tcW w:w="2697" w:type="dxa"/>
          </w:tcPr>
          <w:p w14:paraId="795129E8" w14:textId="77777777" w:rsidR="002D3C02" w:rsidRPr="00AF0CED" w:rsidRDefault="002D3C02" w:rsidP="00573324">
            <w:pPr>
              <w:spacing w:line="360" w:lineRule="auto"/>
              <w:jc w:val="both"/>
              <w:rPr>
                <w:b/>
                <w:color w:val="auto"/>
              </w:rPr>
            </w:pPr>
            <w:r w:rsidRPr="00AF0CED">
              <w:rPr>
                <w:bCs/>
                <w:color w:val="auto"/>
              </w:rPr>
              <w:t>Rosuvastatin (75mg/kg)</w:t>
            </w:r>
          </w:p>
        </w:tc>
        <w:tc>
          <w:tcPr>
            <w:tcW w:w="1657" w:type="dxa"/>
          </w:tcPr>
          <w:p w14:paraId="39C19DA5" w14:textId="77777777" w:rsidR="002D3C02" w:rsidRPr="00AF0CED" w:rsidRDefault="002D3C02" w:rsidP="00573324">
            <w:pPr>
              <w:spacing w:line="360" w:lineRule="auto"/>
              <w:jc w:val="both"/>
              <w:rPr>
                <w:color w:val="auto"/>
              </w:rPr>
            </w:pPr>
            <w:r w:rsidRPr="00AF0CED">
              <w:rPr>
                <w:color w:val="auto"/>
                <w:lang w:eastAsia="en-GB"/>
              </w:rPr>
              <w:t>0.4</w:t>
            </w:r>
            <w:r>
              <w:rPr>
                <w:color w:val="auto"/>
                <w:lang w:eastAsia="en-GB"/>
              </w:rPr>
              <w:t>1</w:t>
            </w:r>
            <w:r w:rsidRPr="00AF0CED">
              <w:rPr>
                <w:color w:val="auto"/>
                <w:lang w:eastAsia="en-GB"/>
              </w:rPr>
              <w:t xml:space="preserve"> ± 0.01</w:t>
            </w:r>
            <w:r w:rsidRPr="00AF0CED">
              <w:rPr>
                <w:color w:val="auto"/>
                <w:vertAlign w:val="superscript"/>
                <w:lang w:eastAsia="en-GB"/>
              </w:rPr>
              <w:t>a</w:t>
            </w:r>
          </w:p>
        </w:tc>
        <w:tc>
          <w:tcPr>
            <w:tcW w:w="1660" w:type="dxa"/>
          </w:tcPr>
          <w:p w14:paraId="53C9A03A" w14:textId="77777777" w:rsidR="002D3C02" w:rsidRPr="00AF0CED" w:rsidRDefault="002D3C02" w:rsidP="00573324">
            <w:pPr>
              <w:spacing w:line="360" w:lineRule="auto"/>
              <w:jc w:val="both"/>
              <w:rPr>
                <w:color w:val="auto"/>
              </w:rPr>
            </w:pPr>
            <w:r w:rsidRPr="00AF0CED">
              <w:rPr>
                <w:color w:val="auto"/>
                <w:lang w:eastAsia="en-GB"/>
              </w:rPr>
              <w:t>1.2</w:t>
            </w:r>
            <w:r>
              <w:rPr>
                <w:color w:val="auto"/>
                <w:lang w:eastAsia="en-GB"/>
              </w:rPr>
              <w:t>8</w:t>
            </w:r>
            <w:r w:rsidRPr="00AF0CED">
              <w:rPr>
                <w:color w:val="auto"/>
                <w:lang w:eastAsia="en-GB"/>
              </w:rPr>
              <w:t xml:space="preserve"> ± 0.53</w:t>
            </w:r>
            <w:r w:rsidRPr="00AF0CED">
              <w:rPr>
                <w:color w:val="auto"/>
                <w:vertAlign w:val="superscript"/>
                <w:lang w:eastAsia="en-GB"/>
              </w:rPr>
              <w:t>a</w:t>
            </w:r>
          </w:p>
        </w:tc>
        <w:tc>
          <w:tcPr>
            <w:tcW w:w="1676" w:type="dxa"/>
          </w:tcPr>
          <w:p w14:paraId="7914B060" w14:textId="77777777" w:rsidR="002D3C02" w:rsidRPr="00AF0CED" w:rsidRDefault="002D3C02" w:rsidP="00573324">
            <w:pPr>
              <w:spacing w:line="360" w:lineRule="auto"/>
              <w:jc w:val="both"/>
              <w:rPr>
                <w:color w:val="auto"/>
              </w:rPr>
            </w:pPr>
            <w:r w:rsidRPr="00AF0CED">
              <w:rPr>
                <w:color w:val="auto"/>
                <w:lang w:eastAsia="en-GB"/>
              </w:rPr>
              <w:t>2.3</w:t>
            </w:r>
            <w:r>
              <w:rPr>
                <w:color w:val="auto"/>
                <w:lang w:eastAsia="en-GB"/>
              </w:rPr>
              <w:t>3</w:t>
            </w:r>
            <w:r w:rsidRPr="00AF0CED">
              <w:rPr>
                <w:color w:val="auto"/>
                <w:lang w:eastAsia="en-GB"/>
              </w:rPr>
              <w:t xml:space="preserve"> ± 0.28</w:t>
            </w:r>
            <w:r w:rsidRPr="00AF0CED">
              <w:rPr>
                <w:color w:val="auto"/>
                <w:vertAlign w:val="superscript"/>
                <w:lang w:eastAsia="en-GB"/>
              </w:rPr>
              <w:t>a</w:t>
            </w:r>
          </w:p>
        </w:tc>
        <w:tc>
          <w:tcPr>
            <w:tcW w:w="1660" w:type="dxa"/>
          </w:tcPr>
          <w:p w14:paraId="29BF54E1" w14:textId="77777777" w:rsidR="002D3C02" w:rsidRPr="00AF0CED" w:rsidRDefault="002D3C02" w:rsidP="00573324">
            <w:pPr>
              <w:spacing w:line="360" w:lineRule="auto"/>
              <w:jc w:val="both"/>
              <w:rPr>
                <w:color w:val="auto"/>
              </w:rPr>
            </w:pPr>
            <w:r w:rsidRPr="00AF0CED">
              <w:rPr>
                <w:color w:val="auto"/>
                <w:lang w:eastAsia="en-GB"/>
              </w:rPr>
              <w:t>0.4</w:t>
            </w:r>
            <w:r>
              <w:rPr>
                <w:color w:val="auto"/>
                <w:lang w:eastAsia="en-GB"/>
              </w:rPr>
              <w:t>7</w:t>
            </w:r>
            <w:r w:rsidRPr="00AF0CED">
              <w:rPr>
                <w:color w:val="auto"/>
                <w:lang w:eastAsia="en-GB"/>
              </w:rPr>
              <w:t xml:space="preserve"> ± 0.05</w:t>
            </w:r>
            <w:r w:rsidRPr="00AF0CED">
              <w:rPr>
                <w:color w:val="auto"/>
                <w:vertAlign w:val="superscript"/>
                <w:lang w:eastAsia="en-GB"/>
              </w:rPr>
              <w:t>b</w:t>
            </w:r>
          </w:p>
        </w:tc>
      </w:tr>
      <w:tr w:rsidR="002D3C02" w:rsidRPr="00AF0CED" w14:paraId="5DFEE9CE" w14:textId="77777777" w:rsidTr="00573324">
        <w:tc>
          <w:tcPr>
            <w:tcW w:w="2697" w:type="dxa"/>
          </w:tcPr>
          <w:p w14:paraId="13EB58D4" w14:textId="77777777" w:rsidR="002D3C02" w:rsidRPr="00AF0CED" w:rsidRDefault="002D3C02" w:rsidP="00573324">
            <w:pPr>
              <w:spacing w:line="360" w:lineRule="auto"/>
              <w:jc w:val="both"/>
              <w:rPr>
                <w:b/>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(150 mg/kg)</w:t>
            </w:r>
          </w:p>
        </w:tc>
        <w:tc>
          <w:tcPr>
            <w:tcW w:w="1657" w:type="dxa"/>
          </w:tcPr>
          <w:p w14:paraId="46BB69BF" w14:textId="77777777" w:rsidR="002D3C02" w:rsidRPr="00AF0CED" w:rsidRDefault="002D3C02" w:rsidP="00573324">
            <w:pPr>
              <w:spacing w:line="360" w:lineRule="auto"/>
              <w:jc w:val="both"/>
              <w:rPr>
                <w:color w:val="auto"/>
                <w:vertAlign w:val="superscript"/>
              </w:rPr>
            </w:pPr>
            <w:r w:rsidRPr="00AF0CED">
              <w:rPr>
                <w:color w:val="auto"/>
              </w:rPr>
              <w:t>0.39 ± 0.0</w:t>
            </w:r>
            <w:r>
              <w:rPr>
                <w:color w:val="auto"/>
              </w:rPr>
              <w:t>1</w:t>
            </w:r>
            <w:r w:rsidRPr="00AF0CED">
              <w:rPr>
                <w:color w:val="auto"/>
                <w:vertAlign w:val="superscript"/>
              </w:rPr>
              <w:t>a</w:t>
            </w:r>
          </w:p>
          <w:p w14:paraId="1ED4AF16" w14:textId="77777777" w:rsidR="002D3C02" w:rsidRPr="00AF0CED" w:rsidRDefault="002D3C02" w:rsidP="00573324">
            <w:pPr>
              <w:spacing w:line="360" w:lineRule="auto"/>
              <w:jc w:val="both"/>
              <w:rPr>
                <w:color w:val="auto"/>
              </w:rPr>
            </w:pPr>
          </w:p>
        </w:tc>
        <w:tc>
          <w:tcPr>
            <w:tcW w:w="1660" w:type="dxa"/>
          </w:tcPr>
          <w:p w14:paraId="604DABA4" w14:textId="77777777" w:rsidR="002D3C02" w:rsidRPr="00AF0CED" w:rsidRDefault="002D3C02" w:rsidP="00573324">
            <w:pPr>
              <w:spacing w:line="360" w:lineRule="auto"/>
              <w:jc w:val="both"/>
              <w:rPr>
                <w:color w:val="auto"/>
              </w:rPr>
            </w:pPr>
            <w:r w:rsidRPr="00AF0CED">
              <w:rPr>
                <w:color w:val="auto"/>
              </w:rPr>
              <w:t>0.4</w:t>
            </w:r>
            <w:r>
              <w:rPr>
                <w:color w:val="auto"/>
              </w:rPr>
              <w:t>2</w:t>
            </w:r>
            <w:r w:rsidRPr="00AF0CED">
              <w:rPr>
                <w:color w:val="auto"/>
              </w:rPr>
              <w:t xml:space="preserve"> ± 0.0</w:t>
            </w:r>
            <w:r>
              <w:rPr>
                <w:color w:val="auto"/>
              </w:rPr>
              <w:t>1</w:t>
            </w:r>
            <w:r w:rsidRPr="00AF0CED">
              <w:rPr>
                <w:color w:val="auto"/>
                <w:vertAlign w:val="superscript"/>
              </w:rPr>
              <w:t>b</w:t>
            </w:r>
            <w:r w:rsidRPr="00AF0CED">
              <w:rPr>
                <w:color w:val="auto"/>
              </w:rPr>
              <w:t xml:space="preserve">  </w:t>
            </w:r>
          </w:p>
          <w:p w14:paraId="1EBEABD1" w14:textId="77777777" w:rsidR="002D3C02" w:rsidRPr="00AF0CED" w:rsidRDefault="002D3C02" w:rsidP="00573324">
            <w:pPr>
              <w:spacing w:line="360" w:lineRule="auto"/>
              <w:jc w:val="both"/>
              <w:rPr>
                <w:color w:val="auto"/>
              </w:rPr>
            </w:pPr>
          </w:p>
        </w:tc>
        <w:tc>
          <w:tcPr>
            <w:tcW w:w="1676" w:type="dxa"/>
          </w:tcPr>
          <w:p w14:paraId="13D2205C" w14:textId="77777777" w:rsidR="002D3C02" w:rsidRPr="00AF0CED" w:rsidRDefault="002D3C02" w:rsidP="00573324">
            <w:pPr>
              <w:spacing w:line="360" w:lineRule="auto"/>
              <w:jc w:val="both"/>
              <w:rPr>
                <w:color w:val="auto"/>
                <w:vertAlign w:val="superscript"/>
              </w:rPr>
            </w:pPr>
            <w:r w:rsidRPr="00AF0CED">
              <w:rPr>
                <w:color w:val="auto"/>
              </w:rPr>
              <w:t>1.8</w:t>
            </w:r>
            <w:r>
              <w:rPr>
                <w:color w:val="auto"/>
              </w:rPr>
              <w:t>6</w:t>
            </w:r>
            <w:r w:rsidRPr="00AF0CED">
              <w:rPr>
                <w:color w:val="auto"/>
              </w:rPr>
              <w:t xml:space="preserve"> ± 0.73</w:t>
            </w:r>
            <w:r w:rsidRPr="00AF0CED">
              <w:rPr>
                <w:color w:val="auto"/>
                <w:vertAlign w:val="superscript"/>
              </w:rPr>
              <w:t>ab</w:t>
            </w:r>
          </w:p>
          <w:p w14:paraId="7F301C12" w14:textId="77777777" w:rsidR="002D3C02" w:rsidRPr="00AF0CED" w:rsidRDefault="002D3C02" w:rsidP="00573324">
            <w:pPr>
              <w:spacing w:line="360" w:lineRule="auto"/>
              <w:jc w:val="both"/>
              <w:rPr>
                <w:color w:val="auto"/>
              </w:rPr>
            </w:pPr>
          </w:p>
        </w:tc>
        <w:tc>
          <w:tcPr>
            <w:tcW w:w="1660" w:type="dxa"/>
          </w:tcPr>
          <w:p w14:paraId="73B1D6A5" w14:textId="77777777" w:rsidR="002D3C02" w:rsidRPr="00AF0CED" w:rsidRDefault="002D3C02" w:rsidP="00573324">
            <w:pPr>
              <w:spacing w:line="360" w:lineRule="auto"/>
              <w:jc w:val="both"/>
              <w:rPr>
                <w:color w:val="auto"/>
                <w:vertAlign w:val="superscript"/>
              </w:rPr>
            </w:pPr>
            <w:r w:rsidRPr="00AF0CED">
              <w:rPr>
                <w:color w:val="auto"/>
              </w:rPr>
              <w:t>2.56 ± 0.01</w:t>
            </w:r>
            <w:r w:rsidRPr="00AF0CED">
              <w:rPr>
                <w:color w:val="auto"/>
                <w:vertAlign w:val="superscript"/>
              </w:rPr>
              <w:t>a</w:t>
            </w:r>
          </w:p>
          <w:p w14:paraId="08847EBE" w14:textId="77777777" w:rsidR="002D3C02" w:rsidRPr="00AF0CED" w:rsidRDefault="002D3C02" w:rsidP="00573324">
            <w:pPr>
              <w:spacing w:line="360" w:lineRule="auto"/>
              <w:jc w:val="both"/>
              <w:rPr>
                <w:color w:val="auto"/>
              </w:rPr>
            </w:pPr>
          </w:p>
        </w:tc>
      </w:tr>
      <w:tr w:rsidR="002D3C02" w:rsidRPr="00AF0CED" w14:paraId="35D9A4D5" w14:textId="77777777" w:rsidTr="00573324">
        <w:tc>
          <w:tcPr>
            <w:tcW w:w="2697" w:type="dxa"/>
          </w:tcPr>
          <w:p w14:paraId="175C792D" w14:textId="77777777" w:rsidR="002D3C02" w:rsidRPr="00AF0CED" w:rsidRDefault="002D3C02" w:rsidP="00573324">
            <w:pPr>
              <w:spacing w:line="360" w:lineRule="auto"/>
              <w:jc w:val="both"/>
              <w:rPr>
                <w:b/>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(300 mg/kg)</w:t>
            </w:r>
          </w:p>
        </w:tc>
        <w:tc>
          <w:tcPr>
            <w:tcW w:w="1657" w:type="dxa"/>
          </w:tcPr>
          <w:p w14:paraId="51A1780E" w14:textId="77777777" w:rsidR="002D3C02" w:rsidRPr="00AF0CED" w:rsidRDefault="002D3C02" w:rsidP="00573324">
            <w:pPr>
              <w:spacing w:line="360" w:lineRule="auto"/>
              <w:jc w:val="both"/>
              <w:rPr>
                <w:color w:val="auto"/>
              </w:rPr>
            </w:pPr>
            <w:r w:rsidRPr="00AF0CED">
              <w:rPr>
                <w:color w:val="auto"/>
              </w:rPr>
              <w:t>0.38 ± 0.0</w:t>
            </w:r>
            <w:r>
              <w:rPr>
                <w:color w:val="auto"/>
              </w:rPr>
              <w:t>2</w:t>
            </w:r>
            <w:r w:rsidRPr="00AF0CED">
              <w:rPr>
                <w:color w:val="auto"/>
                <w:vertAlign w:val="superscript"/>
              </w:rPr>
              <w:t>a</w:t>
            </w:r>
          </w:p>
        </w:tc>
        <w:tc>
          <w:tcPr>
            <w:tcW w:w="1660" w:type="dxa"/>
          </w:tcPr>
          <w:p w14:paraId="3A87A094" w14:textId="77777777" w:rsidR="002D3C02" w:rsidRPr="00AF0CED" w:rsidRDefault="002D3C02" w:rsidP="00573324">
            <w:pPr>
              <w:spacing w:line="360" w:lineRule="auto"/>
              <w:jc w:val="both"/>
              <w:rPr>
                <w:color w:val="auto"/>
              </w:rPr>
            </w:pPr>
            <w:r w:rsidRPr="00AF0CED">
              <w:rPr>
                <w:color w:val="auto"/>
              </w:rPr>
              <w:t>1.8</w:t>
            </w:r>
            <w:r>
              <w:rPr>
                <w:color w:val="auto"/>
              </w:rPr>
              <w:t>3</w:t>
            </w:r>
            <w:r w:rsidRPr="00AF0CED">
              <w:rPr>
                <w:color w:val="auto"/>
              </w:rPr>
              <w:t xml:space="preserve"> ± 0.0</w:t>
            </w:r>
            <w:r>
              <w:rPr>
                <w:color w:val="auto"/>
              </w:rPr>
              <w:t>3</w:t>
            </w:r>
            <w:r w:rsidRPr="00AF0CED">
              <w:rPr>
                <w:color w:val="auto"/>
                <w:vertAlign w:val="superscript"/>
              </w:rPr>
              <w:t>a</w:t>
            </w:r>
          </w:p>
        </w:tc>
        <w:tc>
          <w:tcPr>
            <w:tcW w:w="1676" w:type="dxa"/>
          </w:tcPr>
          <w:p w14:paraId="00283266" w14:textId="77777777" w:rsidR="002D3C02" w:rsidRPr="00AF0CED" w:rsidRDefault="002D3C02" w:rsidP="00573324">
            <w:pPr>
              <w:spacing w:line="360" w:lineRule="auto"/>
              <w:jc w:val="both"/>
              <w:rPr>
                <w:color w:val="auto"/>
              </w:rPr>
            </w:pPr>
            <w:r w:rsidRPr="00AF0CED">
              <w:rPr>
                <w:color w:val="auto"/>
              </w:rPr>
              <w:t>1.8</w:t>
            </w:r>
            <w:r>
              <w:rPr>
                <w:color w:val="auto"/>
              </w:rPr>
              <w:t>6</w:t>
            </w:r>
            <w:r w:rsidRPr="00AF0CED">
              <w:rPr>
                <w:color w:val="auto"/>
              </w:rPr>
              <w:t xml:space="preserve"> ± 0.73</w:t>
            </w:r>
            <w:r w:rsidRPr="00AF0CED">
              <w:rPr>
                <w:color w:val="auto"/>
                <w:vertAlign w:val="superscript"/>
              </w:rPr>
              <w:t>ab</w:t>
            </w:r>
          </w:p>
        </w:tc>
        <w:tc>
          <w:tcPr>
            <w:tcW w:w="1660" w:type="dxa"/>
          </w:tcPr>
          <w:p w14:paraId="2122245C" w14:textId="77777777" w:rsidR="002D3C02" w:rsidRPr="00AF0CED" w:rsidRDefault="002D3C02" w:rsidP="00573324">
            <w:pPr>
              <w:spacing w:line="360" w:lineRule="auto"/>
              <w:jc w:val="both"/>
              <w:rPr>
                <w:color w:val="auto"/>
              </w:rPr>
            </w:pPr>
            <w:r w:rsidRPr="00AF0CED">
              <w:rPr>
                <w:color w:val="auto"/>
              </w:rPr>
              <w:t>0.46 ± 0.02</w:t>
            </w:r>
            <w:r w:rsidRPr="00AF0CED">
              <w:rPr>
                <w:color w:val="auto"/>
                <w:vertAlign w:val="superscript"/>
              </w:rPr>
              <w:t>b</w:t>
            </w:r>
          </w:p>
        </w:tc>
      </w:tr>
      <w:tr w:rsidR="002D3C02" w:rsidRPr="00AF0CED" w14:paraId="0EC34B99" w14:textId="77777777" w:rsidTr="00573324">
        <w:tc>
          <w:tcPr>
            <w:tcW w:w="2697" w:type="dxa"/>
          </w:tcPr>
          <w:p w14:paraId="79954535" w14:textId="77777777" w:rsidR="002D3C02" w:rsidRPr="00AF0CED" w:rsidRDefault="002D3C02" w:rsidP="00573324">
            <w:pPr>
              <w:spacing w:line="360" w:lineRule="auto"/>
              <w:jc w:val="both"/>
              <w:rPr>
                <w:b/>
                <w:color w:val="auto"/>
              </w:rPr>
            </w:pPr>
            <w:r w:rsidRPr="00AF0CED">
              <w:rPr>
                <w:bCs/>
                <w:color w:val="auto"/>
              </w:rPr>
              <w:t>Vigna subterranea (150 mg/kg)</w:t>
            </w:r>
          </w:p>
        </w:tc>
        <w:tc>
          <w:tcPr>
            <w:tcW w:w="1657" w:type="dxa"/>
          </w:tcPr>
          <w:p w14:paraId="6E8D0D8B" w14:textId="77777777" w:rsidR="002D3C02" w:rsidRPr="00AF0CED" w:rsidRDefault="002D3C02" w:rsidP="00573324">
            <w:pPr>
              <w:spacing w:line="360" w:lineRule="auto"/>
              <w:jc w:val="both"/>
              <w:rPr>
                <w:color w:val="auto"/>
                <w:vertAlign w:val="superscript"/>
                <w:lang w:eastAsia="en-GB"/>
              </w:rPr>
            </w:pPr>
            <w:r w:rsidRPr="00AF0CED">
              <w:rPr>
                <w:color w:val="auto"/>
                <w:lang w:eastAsia="en-GB"/>
              </w:rPr>
              <w:t>0.41 ± 0.0</w:t>
            </w:r>
            <w:r>
              <w:rPr>
                <w:color w:val="auto"/>
                <w:lang w:eastAsia="en-GB"/>
              </w:rPr>
              <w:t>2</w:t>
            </w:r>
            <w:r w:rsidRPr="00AF0CED">
              <w:rPr>
                <w:color w:val="auto"/>
                <w:vertAlign w:val="superscript"/>
                <w:lang w:eastAsia="en-GB"/>
              </w:rPr>
              <w:t>a</w:t>
            </w:r>
          </w:p>
          <w:p w14:paraId="344D811D" w14:textId="77777777" w:rsidR="002D3C02" w:rsidRPr="00AF0CED" w:rsidRDefault="002D3C02" w:rsidP="00573324">
            <w:pPr>
              <w:spacing w:line="360" w:lineRule="auto"/>
              <w:jc w:val="both"/>
              <w:rPr>
                <w:color w:val="auto"/>
              </w:rPr>
            </w:pPr>
          </w:p>
        </w:tc>
        <w:tc>
          <w:tcPr>
            <w:tcW w:w="1660" w:type="dxa"/>
          </w:tcPr>
          <w:p w14:paraId="1C5EF381" w14:textId="77777777" w:rsidR="002D3C02" w:rsidRPr="00AF0CED" w:rsidRDefault="002D3C02" w:rsidP="00573324">
            <w:pPr>
              <w:spacing w:line="360" w:lineRule="auto"/>
              <w:jc w:val="both"/>
              <w:rPr>
                <w:color w:val="auto"/>
                <w:vertAlign w:val="superscript"/>
                <w:lang w:eastAsia="en-GB"/>
              </w:rPr>
            </w:pPr>
            <w:r w:rsidRPr="00AF0CED">
              <w:rPr>
                <w:color w:val="auto"/>
                <w:lang w:eastAsia="en-GB"/>
              </w:rPr>
              <w:t>2.1</w:t>
            </w:r>
            <w:r>
              <w:rPr>
                <w:color w:val="auto"/>
                <w:lang w:eastAsia="en-GB"/>
              </w:rPr>
              <w:t>5</w:t>
            </w:r>
            <w:r w:rsidRPr="00AF0CED">
              <w:rPr>
                <w:color w:val="auto"/>
                <w:lang w:eastAsia="en-GB"/>
              </w:rPr>
              <w:t xml:space="preserve"> ± 0.0</w:t>
            </w:r>
            <w:r>
              <w:rPr>
                <w:color w:val="auto"/>
                <w:lang w:eastAsia="en-GB"/>
              </w:rPr>
              <w:t>3</w:t>
            </w:r>
            <w:r w:rsidRPr="00AF0CED">
              <w:rPr>
                <w:color w:val="auto"/>
                <w:vertAlign w:val="superscript"/>
                <w:lang w:eastAsia="en-GB"/>
              </w:rPr>
              <w:t>a</w:t>
            </w:r>
          </w:p>
          <w:p w14:paraId="01B057A9" w14:textId="77777777" w:rsidR="002D3C02" w:rsidRPr="00AF0CED" w:rsidRDefault="002D3C02" w:rsidP="00573324">
            <w:pPr>
              <w:spacing w:line="360" w:lineRule="auto"/>
              <w:jc w:val="both"/>
              <w:rPr>
                <w:color w:val="auto"/>
              </w:rPr>
            </w:pPr>
          </w:p>
        </w:tc>
        <w:tc>
          <w:tcPr>
            <w:tcW w:w="1676" w:type="dxa"/>
          </w:tcPr>
          <w:p w14:paraId="651F9FEC" w14:textId="77777777" w:rsidR="002D3C02" w:rsidRPr="00AF0CED" w:rsidRDefault="002D3C02" w:rsidP="00573324">
            <w:pPr>
              <w:spacing w:line="360" w:lineRule="auto"/>
              <w:jc w:val="both"/>
              <w:rPr>
                <w:color w:val="auto"/>
                <w:vertAlign w:val="superscript"/>
                <w:lang w:eastAsia="en-GB"/>
              </w:rPr>
            </w:pPr>
            <w:r w:rsidRPr="00AF0CED">
              <w:rPr>
                <w:color w:val="auto"/>
                <w:lang w:eastAsia="en-GB"/>
              </w:rPr>
              <w:t>2.62 ±0.0</w:t>
            </w:r>
            <w:r>
              <w:rPr>
                <w:color w:val="auto"/>
                <w:lang w:eastAsia="en-GB"/>
              </w:rPr>
              <w:t>4</w:t>
            </w:r>
            <w:r w:rsidRPr="00AF0CED">
              <w:rPr>
                <w:color w:val="auto"/>
                <w:vertAlign w:val="superscript"/>
                <w:lang w:eastAsia="en-GB"/>
              </w:rPr>
              <w:t>a</w:t>
            </w:r>
          </w:p>
          <w:p w14:paraId="0946FD0D" w14:textId="77777777" w:rsidR="002D3C02" w:rsidRPr="00AF0CED" w:rsidRDefault="002D3C02" w:rsidP="00573324">
            <w:pPr>
              <w:spacing w:line="360" w:lineRule="auto"/>
              <w:jc w:val="both"/>
              <w:rPr>
                <w:color w:val="auto"/>
              </w:rPr>
            </w:pPr>
          </w:p>
        </w:tc>
        <w:tc>
          <w:tcPr>
            <w:tcW w:w="1660" w:type="dxa"/>
          </w:tcPr>
          <w:p w14:paraId="03669DD0" w14:textId="77777777" w:rsidR="002D3C02" w:rsidRPr="00AF0CED" w:rsidRDefault="002D3C02" w:rsidP="00573324">
            <w:pPr>
              <w:spacing w:line="360" w:lineRule="auto"/>
              <w:jc w:val="both"/>
              <w:rPr>
                <w:color w:val="auto"/>
                <w:vertAlign w:val="superscript"/>
                <w:lang w:eastAsia="en-GB"/>
              </w:rPr>
            </w:pPr>
            <w:r w:rsidRPr="00AF0CED">
              <w:rPr>
                <w:color w:val="auto"/>
                <w:lang w:eastAsia="en-GB"/>
              </w:rPr>
              <w:t>1.16 ± 0.67</w:t>
            </w:r>
            <w:r w:rsidRPr="00AF0CED">
              <w:rPr>
                <w:color w:val="auto"/>
                <w:vertAlign w:val="superscript"/>
                <w:lang w:eastAsia="en-GB"/>
              </w:rPr>
              <w:t>b</w:t>
            </w:r>
          </w:p>
          <w:p w14:paraId="12C0EFFC" w14:textId="77777777" w:rsidR="002D3C02" w:rsidRPr="00AF0CED" w:rsidRDefault="002D3C02" w:rsidP="00573324">
            <w:pPr>
              <w:spacing w:line="360" w:lineRule="auto"/>
              <w:jc w:val="both"/>
              <w:rPr>
                <w:color w:val="auto"/>
              </w:rPr>
            </w:pPr>
          </w:p>
        </w:tc>
      </w:tr>
      <w:tr w:rsidR="002D3C02" w:rsidRPr="00AF0CED" w14:paraId="13BAF060" w14:textId="77777777" w:rsidTr="00573324">
        <w:tc>
          <w:tcPr>
            <w:tcW w:w="2697" w:type="dxa"/>
          </w:tcPr>
          <w:p w14:paraId="7537F722" w14:textId="77777777" w:rsidR="002D3C02" w:rsidRPr="00AF0CED" w:rsidRDefault="002D3C02" w:rsidP="00573324">
            <w:pPr>
              <w:spacing w:line="360" w:lineRule="auto"/>
              <w:jc w:val="both"/>
              <w:rPr>
                <w:b/>
                <w:color w:val="auto"/>
              </w:rPr>
            </w:pPr>
            <w:r w:rsidRPr="00AF0CED">
              <w:rPr>
                <w:bCs/>
                <w:color w:val="auto"/>
              </w:rPr>
              <w:t>Vigna subterranea (300 mg/kg)</w:t>
            </w:r>
          </w:p>
        </w:tc>
        <w:tc>
          <w:tcPr>
            <w:tcW w:w="1657" w:type="dxa"/>
          </w:tcPr>
          <w:p w14:paraId="7F10C949" w14:textId="77777777" w:rsidR="002D3C02" w:rsidRPr="00AF0CED" w:rsidRDefault="002D3C02" w:rsidP="00573324">
            <w:pPr>
              <w:spacing w:line="360" w:lineRule="auto"/>
              <w:jc w:val="both"/>
              <w:rPr>
                <w:color w:val="auto"/>
              </w:rPr>
            </w:pPr>
            <w:r w:rsidRPr="00AF0CED">
              <w:rPr>
                <w:color w:val="auto"/>
                <w:lang w:eastAsia="en-GB"/>
              </w:rPr>
              <w:t>0.41 ± 0.02</w:t>
            </w:r>
            <w:r w:rsidRPr="00AF0CED">
              <w:rPr>
                <w:color w:val="auto"/>
                <w:vertAlign w:val="superscript"/>
                <w:lang w:eastAsia="en-GB"/>
              </w:rPr>
              <w:t>a</w:t>
            </w:r>
          </w:p>
        </w:tc>
        <w:tc>
          <w:tcPr>
            <w:tcW w:w="1660" w:type="dxa"/>
          </w:tcPr>
          <w:p w14:paraId="4206F220" w14:textId="77777777" w:rsidR="002D3C02" w:rsidRPr="00AF0CED" w:rsidRDefault="002D3C02" w:rsidP="00573324">
            <w:pPr>
              <w:spacing w:line="360" w:lineRule="auto"/>
              <w:jc w:val="both"/>
              <w:rPr>
                <w:b/>
                <w:color w:val="auto"/>
              </w:rPr>
            </w:pPr>
            <w:r w:rsidRPr="00AF0CED">
              <w:rPr>
                <w:color w:val="auto"/>
                <w:lang w:eastAsia="en-GB"/>
              </w:rPr>
              <w:t>0.47 ± 0.06</w:t>
            </w:r>
            <w:r w:rsidRPr="00AF0CED">
              <w:rPr>
                <w:color w:val="auto"/>
                <w:vertAlign w:val="superscript"/>
                <w:lang w:eastAsia="en-GB"/>
              </w:rPr>
              <w:t>c</w:t>
            </w:r>
          </w:p>
        </w:tc>
        <w:tc>
          <w:tcPr>
            <w:tcW w:w="1676" w:type="dxa"/>
          </w:tcPr>
          <w:p w14:paraId="1F83922A" w14:textId="77777777" w:rsidR="002D3C02" w:rsidRPr="00AF0CED" w:rsidRDefault="002D3C02" w:rsidP="00573324">
            <w:pPr>
              <w:spacing w:line="360" w:lineRule="auto"/>
              <w:jc w:val="both"/>
              <w:rPr>
                <w:color w:val="auto"/>
              </w:rPr>
            </w:pPr>
            <w:r w:rsidRPr="00AF0CED">
              <w:rPr>
                <w:color w:val="auto"/>
                <w:lang w:eastAsia="en-GB"/>
              </w:rPr>
              <w:t>0.4</w:t>
            </w:r>
            <w:r>
              <w:rPr>
                <w:color w:val="auto"/>
                <w:lang w:eastAsia="en-GB"/>
              </w:rPr>
              <w:t>3</w:t>
            </w:r>
            <w:r w:rsidRPr="00AF0CED">
              <w:rPr>
                <w:color w:val="auto"/>
                <w:lang w:eastAsia="en-GB"/>
              </w:rPr>
              <w:t xml:space="preserve"> ± 0.08</w:t>
            </w:r>
            <w:r w:rsidRPr="00AF0CED">
              <w:rPr>
                <w:color w:val="auto"/>
                <w:vertAlign w:val="superscript"/>
                <w:lang w:eastAsia="en-GB"/>
              </w:rPr>
              <w:t>b</w:t>
            </w:r>
          </w:p>
        </w:tc>
        <w:tc>
          <w:tcPr>
            <w:tcW w:w="1660" w:type="dxa"/>
          </w:tcPr>
          <w:p w14:paraId="158B1540" w14:textId="77777777" w:rsidR="002D3C02" w:rsidRPr="00AF0CED" w:rsidRDefault="002D3C02" w:rsidP="00573324">
            <w:pPr>
              <w:spacing w:line="360" w:lineRule="auto"/>
              <w:jc w:val="both"/>
              <w:rPr>
                <w:color w:val="auto"/>
              </w:rPr>
            </w:pPr>
            <w:r w:rsidRPr="00AF0CED">
              <w:rPr>
                <w:color w:val="auto"/>
                <w:lang w:eastAsia="en-GB"/>
              </w:rPr>
              <w:t>0.40 ± 0.0</w:t>
            </w:r>
            <w:r>
              <w:rPr>
                <w:color w:val="auto"/>
                <w:lang w:eastAsia="en-GB"/>
              </w:rPr>
              <w:t>1</w:t>
            </w:r>
            <w:r w:rsidRPr="00AF0CED">
              <w:rPr>
                <w:color w:val="auto"/>
                <w:vertAlign w:val="superscript"/>
                <w:lang w:eastAsia="en-GB"/>
              </w:rPr>
              <w:t>b</w:t>
            </w:r>
          </w:p>
        </w:tc>
      </w:tr>
    </w:tbl>
    <w:p w14:paraId="05A4483A" w14:textId="77777777" w:rsidR="002D3C02" w:rsidRPr="00AF0CED" w:rsidRDefault="002D3C02" w:rsidP="002D3C02">
      <w:pPr>
        <w:spacing w:line="360" w:lineRule="auto"/>
        <w:jc w:val="both"/>
      </w:pPr>
      <w:r w:rsidRPr="00AF0CED">
        <w:t>Values are expressed as means ± SEM. Means sharing common letter(s) in the same column are not significantly different (p &lt; 0.05).</w:t>
      </w:r>
    </w:p>
    <w:p w14:paraId="0A739923" w14:textId="77777777" w:rsidR="002D3C02" w:rsidRPr="00AF0CED" w:rsidRDefault="002D3C02" w:rsidP="002D3C02">
      <w:pPr>
        <w:spacing w:line="360" w:lineRule="auto"/>
        <w:jc w:val="both"/>
      </w:pPr>
    </w:p>
    <w:p w14:paraId="0FC692CF" w14:textId="3FE9832E" w:rsidR="002D3C02" w:rsidRPr="00AF0CED" w:rsidRDefault="002D3C02" w:rsidP="002D3C02">
      <w:pPr>
        <w:spacing w:line="360" w:lineRule="auto"/>
        <w:jc w:val="both"/>
        <w:rPr>
          <w:b/>
          <w:bCs/>
        </w:rPr>
      </w:pPr>
      <w:r w:rsidRPr="00AF0CED">
        <w:rPr>
          <w:b/>
          <w:bCs/>
        </w:rPr>
        <w:lastRenderedPageBreak/>
        <w:t xml:space="preserve"> Table 4. </w:t>
      </w:r>
      <w:r w:rsidRPr="00AF0CED">
        <w:rPr>
          <w:bCs/>
        </w:rPr>
        <w:t xml:space="preserve">Effect of n-butanol fraction of plants on LDL levels </w:t>
      </w:r>
      <w:r>
        <w:rPr>
          <w:bCs/>
        </w:rPr>
        <w:t xml:space="preserve">of rats </w:t>
      </w:r>
      <w:r w:rsidRPr="00AF0CED">
        <w:rPr>
          <w:bCs/>
        </w:rPr>
        <w:t xml:space="preserve">(mmol/L) </w:t>
      </w:r>
    </w:p>
    <w:tbl>
      <w:tblPr>
        <w:tblStyle w:val="ListTable6Colorful"/>
        <w:tblW w:w="0" w:type="auto"/>
        <w:tblLook w:val="0620" w:firstRow="1" w:lastRow="0" w:firstColumn="0" w:lastColumn="0" w:noHBand="1" w:noVBand="1"/>
      </w:tblPr>
      <w:tblGrid>
        <w:gridCol w:w="2405"/>
        <w:gridCol w:w="1701"/>
        <w:gridCol w:w="1701"/>
        <w:gridCol w:w="1843"/>
        <w:gridCol w:w="1700"/>
      </w:tblGrid>
      <w:tr w:rsidR="002D3C02" w:rsidRPr="00AF0CED" w14:paraId="521923C9" w14:textId="77777777" w:rsidTr="00573324">
        <w:trPr>
          <w:cnfStyle w:val="100000000000" w:firstRow="1" w:lastRow="0" w:firstColumn="0" w:lastColumn="0" w:oddVBand="0" w:evenVBand="0" w:oddHBand="0" w:evenHBand="0" w:firstRowFirstColumn="0" w:firstRowLastColumn="0" w:lastRowFirstColumn="0" w:lastRowLastColumn="0"/>
        </w:trPr>
        <w:tc>
          <w:tcPr>
            <w:tcW w:w="2405" w:type="dxa"/>
          </w:tcPr>
          <w:p w14:paraId="4FFAC06D" w14:textId="77777777" w:rsidR="002D3C02" w:rsidRPr="00AF0CED" w:rsidRDefault="002D3C02" w:rsidP="00573324">
            <w:pPr>
              <w:spacing w:line="360" w:lineRule="auto"/>
              <w:jc w:val="both"/>
              <w:rPr>
                <w:b w:val="0"/>
                <w:bCs w:val="0"/>
                <w:color w:val="auto"/>
              </w:rPr>
            </w:pPr>
            <w:r w:rsidRPr="00AF0CED">
              <w:rPr>
                <w:color w:val="auto"/>
              </w:rPr>
              <w:t>Treatment</w:t>
            </w:r>
          </w:p>
        </w:tc>
        <w:tc>
          <w:tcPr>
            <w:tcW w:w="1701" w:type="dxa"/>
          </w:tcPr>
          <w:p w14:paraId="61B4FC66" w14:textId="77777777" w:rsidR="002D3C02" w:rsidRPr="00AF0CED" w:rsidRDefault="002D3C02" w:rsidP="00573324">
            <w:pPr>
              <w:spacing w:line="360" w:lineRule="auto"/>
              <w:jc w:val="both"/>
              <w:rPr>
                <w:b w:val="0"/>
                <w:bCs w:val="0"/>
                <w:color w:val="auto"/>
              </w:rPr>
            </w:pPr>
            <w:r w:rsidRPr="00AF0CED">
              <w:rPr>
                <w:color w:val="auto"/>
              </w:rPr>
              <w:t>0 h</w:t>
            </w:r>
          </w:p>
        </w:tc>
        <w:tc>
          <w:tcPr>
            <w:tcW w:w="1701" w:type="dxa"/>
          </w:tcPr>
          <w:p w14:paraId="7743B6FC" w14:textId="77777777" w:rsidR="002D3C02" w:rsidRPr="00AF0CED" w:rsidRDefault="002D3C02" w:rsidP="00573324">
            <w:pPr>
              <w:spacing w:line="360" w:lineRule="auto"/>
              <w:jc w:val="both"/>
              <w:rPr>
                <w:b w:val="0"/>
                <w:bCs w:val="0"/>
                <w:color w:val="auto"/>
              </w:rPr>
            </w:pPr>
            <w:r w:rsidRPr="00AF0CED">
              <w:rPr>
                <w:color w:val="auto"/>
              </w:rPr>
              <w:t>3 h</w:t>
            </w:r>
          </w:p>
        </w:tc>
        <w:tc>
          <w:tcPr>
            <w:tcW w:w="1843" w:type="dxa"/>
          </w:tcPr>
          <w:p w14:paraId="7BCFCAE5" w14:textId="77777777" w:rsidR="002D3C02" w:rsidRPr="00AF0CED" w:rsidRDefault="002D3C02" w:rsidP="00573324">
            <w:pPr>
              <w:spacing w:line="360" w:lineRule="auto"/>
              <w:jc w:val="both"/>
              <w:rPr>
                <w:b w:val="0"/>
                <w:bCs w:val="0"/>
                <w:color w:val="auto"/>
              </w:rPr>
            </w:pPr>
            <w:r w:rsidRPr="00AF0CED">
              <w:rPr>
                <w:color w:val="auto"/>
              </w:rPr>
              <w:t>24 h</w:t>
            </w:r>
          </w:p>
        </w:tc>
        <w:tc>
          <w:tcPr>
            <w:tcW w:w="1700" w:type="dxa"/>
          </w:tcPr>
          <w:p w14:paraId="6DA79C03" w14:textId="77777777" w:rsidR="002D3C02" w:rsidRPr="00AF0CED" w:rsidRDefault="002D3C02" w:rsidP="00573324">
            <w:pPr>
              <w:spacing w:line="360" w:lineRule="auto"/>
              <w:jc w:val="both"/>
              <w:rPr>
                <w:b w:val="0"/>
                <w:bCs w:val="0"/>
                <w:color w:val="auto"/>
              </w:rPr>
            </w:pPr>
            <w:r w:rsidRPr="00AF0CED">
              <w:rPr>
                <w:color w:val="auto"/>
              </w:rPr>
              <w:t>48 h</w:t>
            </w:r>
          </w:p>
        </w:tc>
      </w:tr>
      <w:tr w:rsidR="002D3C02" w:rsidRPr="00AF0CED" w14:paraId="431581F7" w14:textId="77777777" w:rsidTr="00573324">
        <w:tc>
          <w:tcPr>
            <w:tcW w:w="2405" w:type="dxa"/>
          </w:tcPr>
          <w:p w14:paraId="297ECA3C" w14:textId="77777777" w:rsidR="002D3C02" w:rsidRPr="00AF0CED" w:rsidRDefault="002D3C02" w:rsidP="00573324">
            <w:pPr>
              <w:spacing w:line="360" w:lineRule="auto"/>
              <w:jc w:val="both"/>
              <w:rPr>
                <w:b/>
                <w:bCs/>
                <w:color w:val="auto"/>
              </w:rPr>
            </w:pPr>
            <w:r w:rsidRPr="00AF0CED">
              <w:rPr>
                <w:bCs/>
                <w:color w:val="auto"/>
              </w:rPr>
              <w:t>Normal Control</w:t>
            </w:r>
          </w:p>
        </w:tc>
        <w:tc>
          <w:tcPr>
            <w:tcW w:w="1701" w:type="dxa"/>
          </w:tcPr>
          <w:p w14:paraId="00212F13" w14:textId="77777777" w:rsidR="002D3C02" w:rsidRPr="00AF0CED" w:rsidRDefault="002D3C02" w:rsidP="00573324">
            <w:pPr>
              <w:spacing w:line="360" w:lineRule="auto"/>
              <w:jc w:val="both"/>
              <w:rPr>
                <w:color w:val="auto"/>
                <w:vertAlign w:val="superscript"/>
              </w:rPr>
            </w:pPr>
            <w:r w:rsidRPr="00AF0CED">
              <w:rPr>
                <w:color w:val="auto"/>
              </w:rPr>
              <w:t>1.9</w:t>
            </w:r>
            <w:r>
              <w:rPr>
                <w:color w:val="auto"/>
              </w:rPr>
              <w:t>3</w:t>
            </w:r>
            <w:r w:rsidRPr="00AF0CED">
              <w:rPr>
                <w:color w:val="auto"/>
              </w:rPr>
              <w:t xml:space="preserve"> ± 0.03</w:t>
            </w:r>
            <w:r w:rsidRPr="00AF0CED">
              <w:rPr>
                <w:color w:val="auto"/>
                <w:vertAlign w:val="superscript"/>
              </w:rPr>
              <w:t>a</w:t>
            </w:r>
          </w:p>
        </w:tc>
        <w:tc>
          <w:tcPr>
            <w:tcW w:w="1701" w:type="dxa"/>
          </w:tcPr>
          <w:p w14:paraId="1417A620" w14:textId="77777777" w:rsidR="002D3C02" w:rsidRPr="00AF0CED" w:rsidRDefault="002D3C02" w:rsidP="00573324">
            <w:pPr>
              <w:spacing w:line="360" w:lineRule="auto"/>
              <w:jc w:val="both"/>
              <w:rPr>
                <w:color w:val="auto"/>
                <w:vertAlign w:val="superscript"/>
              </w:rPr>
            </w:pPr>
            <w:r w:rsidRPr="00AF0CED">
              <w:rPr>
                <w:color w:val="auto"/>
              </w:rPr>
              <w:t>1.9</w:t>
            </w:r>
            <w:r>
              <w:rPr>
                <w:color w:val="auto"/>
              </w:rPr>
              <w:t>1</w:t>
            </w:r>
            <w:r w:rsidRPr="00AF0CED">
              <w:rPr>
                <w:color w:val="auto"/>
              </w:rPr>
              <w:t xml:space="preserve"> ± 0.0</w:t>
            </w:r>
            <w:r>
              <w:rPr>
                <w:color w:val="auto"/>
              </w:rPr>
              <w:t>1</w:t>
            </w:r>
            <w:r w:rsidRPr="00AF0CED">
              <w:rPr>
                <w:color w:val="auto"/>
                <w:vertAlign w:val="superscript"/>
              </w:rPr>
              <w:t>a</w:t>
            </w:r>
          </w:p>
        </w:tc>
        <w:tc>
          <w:tcPr>
            <w:tcW w:w="1843" w:type="dxa"/>
          </w:tcPr>
          <w:p w14:paraId="6A4CD245" w14:textId="77777777" w:rsidR="002D3C02" w:rsidRPr="00AF0CED" w:rsidRDefault="002D3C02" w:rsidP="00573324">
            <w:pPr>
              <w:spacing w:line="360" w:lineRule="auto"/>
              <w:jc w:val="both"/>
              <w:rPr>
                <w:color w:val="auto"/>
                <w:vertAlign w:val="superscript"/>
              </w:rPr>
            </w:pPr>
            <w:r w:rsidRPr="00AF0CED">
              <w:rPr>
                <w:color w:val="auto"/>
              </w:rPr>
              <w:t>1.92 ± 0.0</w:t>
            </w:r>
            <w:r>
              <w:rPr>
                <w:color w:val="auto"/>
              </w:rPr>
              <w:t>2</w:t>
            </w:r>
            <w:r w:rsidRPr="00AF0CED">
              <w:rPr>
                <w:color w:val="auto"/>
                <w:vertAlign w:val="superscript"/>
              </w:rPr>
              <w:t>ab</w:t>
            </w:r>
          </w:p>
        </w:tc>
        <w:tc>
          <w:tcPr>
            <w:tcW w:w="1700" w:type="dxa"/>
          </w:tcPr>
          <w:p w14:paraId="202B9590" w14:textId="77777777" w:rsidR="002D3C02" w:rsidRPr="00AF0CED" w:rsidRDefault="002D3C02" w:rsidP="00573324">
            <w:pPr>
              <w:spacing w:line="360" w:lineRule="auto"/>
              <w:jc w:val="both"/>
              <w:rPr>
                <w:color w:val="auto"/>
                <w:vertAlign w:val="superscript"/>
              </w:rPr>
            </w:pPr>
            <w:r w:rsidRPr="00AF0CED">
              <w:rPr>
                <w:color w:val="auto"/>
              </w:rPr>
              <w:t>1.92 ± 0.0</w:t>
            </w:r>
            <w:r>
              <w:rPr>
                <w:color w:val="auto"/>
              </w:rPr>
              <w:t>1</w:t>
            </w:r>
            <w:r w:rsidRPr="00AF0CED">
              <w:rPr>
                <w:color w:val="auto"/>
                <w:vertAlign w:val="superscript"/>
              </w:rPr>
              <w:t>b</w:t>
            </w:r>
          </w:p>
        </w:tc>
      </w:tr>
      <w:tr w:rsidR="002D3C02" w:rsidRPr="00AF0CED" w14:paraId="123C97DF" w14:textId="77777777" w:rsidTr="00573324">
        <w:tc>
          <w:tcPr>
            <w:tcW w:w="2405" w:type="dxa"/>
          </w:tcPr>
          <w:p w14:paraId="2B27B39A" w14:textId="77777777" w:rsidR="002D3C02" w:rsidRPr="00AF0CED" w:rsidRDefault="002D3C02" w:rsidP="00573324">
            <w:pPr>
              <w:spacing w:line="360" w:lineRule="auto"/>
              <w:jc w:val="both"/>
              <w:rPr>
                <w:b/>
                <w:bCs/>
                <w:color w:val="auto"/>
              </w:rPr>
            </w:pPr>
            <w:r w:rsidRPr="00AF0CED">
              <w:rPr>
                <w:bCs/>
                <w:color w:val="auto"/>
              </w:rPr>
              <w:t>Hyperlipidemic control</w:t>
            </w:r>
          </w:p>
        </w:tc>
        <w:tc>
          <w:tcPr>
            <w:tcW w:w="1701" w:type="dxa"/>
          </w:tcPr>
          <w:p w14:paraId="2D21F0BD" w14:textId="77777777" w:rsidR="002D3C02" w:rsidRPr="00AF0CED" w:rsidRDefault="002D3C02" w:rsidP="00573324">
            <w:pPr>
              <w:spacing w:line="360" w:lineRule="auto"/>
              <w:jc w:val="both"/>
              <w:rPr>
                <w:color w:val="auto"/>
                <w:vertAlign w:val="superscript"/>
              </w:rPr>
            </w:pPr>
            <w:r w:rsidRPr="00AF0CED">
              <w:rPr>
                <w:color w:val="auto"/>
              </w:rPr>
              <w:t>1.85 ± 0.0</w:t>
            </w:r>
            <w:r>
              <w:rPr>
                <w:color w:val="auto"/>
              </w:rPr>
              <w:t>5</w:t>
            </w:r>
            <w:r w:rsidRPr="00AF0CED">
              <w:rPr>
                <w:color w:val="auto"/>
                <w:vertAlign w:val="superscript"/>
              </w:rPr>
              <w:t>a</w:t>
            </w:r>
          </w:p>
        </w:tc>
        <w:tc>
          <w:tcPr>
            <w:tcW w:w="1701" w:type="dxa"/>
          </w:tcPr>
          <w:p w14:paraId="0A1D5BAE" w14:textId="77777777" w:rsidR="002D3C02" w:rsidRPr="00AF0CED" w:rsidRDefault="002D3C02" w:rsidP="00573324">
            <w:pPr>
              <w:spacing w:line="360" w:lineRule="auto"/>
              <w:jc w:val="both"/>
              <w:rPr>
                <w:color w:val="auto"/>
                <w:vertAlign w:val="superscript"/>
              </w:rPr>
            </w:pPr>
            <w:r w:rsidRPr="00AF0CED">
              <w:rPr>
                <w:color w:val="auto"/>
              </w:rPr>
              <w:t>1.78 ± 0.</w:t>
            </w:r>
            <w:r>
              <w:rPr>
                <w:color w:val="auto"/>
              </w:rPr>
              <w:t>10</w:t>
            </w:r>
            <w:r w:rsidRPr="00AF0CED">
              <w:rPr>
                <w:color w:val="auto"/>
                <w:vertAlign w:val="superscript"/>
              </w:rPr>
              <w:t>a</w:t>
            </w:r>
          </w:p>
        </w:tc>
        <w:tc>
          <w:tcPr>
            <w:tcW w:w="1843" w:type="dxa"/>
          </w:tcPr>
          <w:p w14:paraId="2352CD99" w14:textId="77777777" w:rsidR="002D3C02" w:rsidRPr="00AF0CED" w:rsidRDefault="002D3C02" w:rsidP="00573324">
            <w:pPr>
              <w:spacing w:line="360" w:lineRule="auto"/>
              <w:jc w:val="both"/>
              <w:rPr>
                <w:color w:val="auto"/>
              </w:rPr>
            </w:pPr>
            <w:r w:rsidRPr="00AF0CED">
              <w:rPr>
                <w:color w:val="auto"/>
              </w:rPr>
              <w:t>1.0</w:t>
            </w:r>
            <w:r>
              <w:rPr>
                <w:color w:val="auto"/>
              </w:rPr>
              <w:t>2</w:t>
            </w:r>
            <w:r w:rsidRPr="00AF0CED">
              <w:rPr>
                <w:color w:val="auto"/>
              </w:rPr>
              <w:t xml:space="preserve"> ± 0.28</w:t>
            </w:r>
            <w:r w:rsidRPr="00AF0CED">
              <w:rPr>
                <w:color w:val="auto"/>
                <w:vertAlign w:val="superscript"/>
              </w:rPr>
              <w:t>bc</w:t>
            </w:r>
            <w:r w:rsidRPr="00AF0CED">
              <w:rPr>
                <w:color w:val="auto"/>
              </w:rPr>
              <w:t xml:space="preserve"> </w:t>
            </w:r>
          </w:p>
        </w:tc>
        <w:tc>
          <w:tcPr>
            <w:tcW w:w="1700" w:type="dxa"/>
          </w:tcPr>
          <w:p w14:paraId="3AA62094" w14:textId="77777777" w:rsidR="002D3C02" w:rsidRPr="00AF0CED" w:rsidRDefault="002D3C02" w:rsidP="00573324">
            <w:pPr>
              <w:spacing w:line="360" w:lineRule="auto"/>
              <w:jc w:val="both"/>
              <w:rPr>
                <w:color w:val="auto"/>
                <w:vertAlign w:val="superscript"/>
              </w:rPr>
            </w:pPr>
            <w:r w:rsidRPr="00AF0CED">
              <w:rPr>
                <w:color w:val="auto"/>
              </w:rPr>
              <w:t>3.31 ± 0.3</w:t>
            </w:r>
            <w:r>
              <w:rPr>
                <w:color w:val="auto"/>
              </w:rPr>
              <w:t>8</w:t>
            </w:r>
            <w:r w:rsidRPr="00AF0CED">
              <w:rPr>
                <w:color w:val="auto"/>
                <w:vertAlign w:val="superscript"/>
              </w:rPr>
              <w:t>a</w:t>
            </w:r>
          </w:p>
        </w:tc>
      </w:tr>
      <w:tr w:rsidR="002D3C02" w:rsidRPr="00AF0CED" w14:paraId="5C6EB5F2" w14:textId="77777777" w:rsidTr="00573324">
        <w:tc>
          <w:tcPr>
            <w:tcW w:w="2405" w:type="dxa"/>
          </w:tcPr>
          <w:p w14:paraId="399B1224" w14:textId="77777777" w:rsidR="002D3C02" w:rsidRPr="00AF0CED" w:rsidRDefault="002D3C02" w:rsidP="00573324">
            <w:pPr>
              <w:spacing w:line="360" w:lineRule="auto"/>
              <w:jc w:val="both"/>
              <w:rPr>
                <w:b/>
                <w:bCs/>
                <w:color w:val="auto"/>
              </w:rPr>
            </w:pPr>
            <w:r w:rsidRPr="00AF0CED">
              <w:rPr>
                <w:bCs/>
                <w:color w:val="auto"/>
              </w:rPr>
              <w:t>Rosuvastatin (75mg/kg)</w:t>
            </w:r>
          </w:p>
        </w:tc>
        <w:tc>
          <w:tcPr>
            <w:tcW w:w="1701" w:type="dxa"/>
          </w:tcPr>
          <w:p w14:paraId="0D13B78A" w14:textId="77777777" w:rsidR="002D3C02" w:rsidRPr="00AF0CED" w:rsidRDefault="002D3C02" w:rsidP="00573324">
            <w:pPr>
              <w:spacing w:line="360" w:lineRule="auto"/>
              <w:jc w:val="both"/>
              <w:rPr>
                <w:color w:val="auto"/>
                <w:vertAlign w:val="superscript"/>
              </w:rPr>
            </w:pPr>
            <w:r w:rsidRPr="00AF0CED">
              <w:rPr>
                <w:color w:val="auto"/>
              </w:rPr>
              <w:t>1.80 ± 0.1</w:t>
            </w:r>
            <w:r>
              <w:rPr>
                <w:color w:val="auto"/>
              </w:rPr>
              <w:t>3</w:t>
            </w:r>
            <w:r w:rsidRPr="00AF0CED">
              <w:rPr>
                <w:color w:val="auto"/>
                <w:vertAlign w:val="superscript"/>
              </w:rPr>
              <w:t>a</w:t>
            </w:r>
          </w:p>
        </w:tc>
        <w:tc>
          <w:tcPr>
            <w:tcW w:w="1701" w:type="dxa"/>
          </w:tcPr>
          <w:p w14:paraId="4874CF0C" w14:textId="77777777" w:rsidR="002D3C02" w:rsidRPr="00AF0CED" w:rsidRDefault="002D3C02" w:rsidP="00573324">
            <w:pPr>
              <w:spacing w:line="360" w:lineRule="auto"/>
              <w:jc w:val="both"/>
              <w:rPr>
                <w:color w:val="auto"/>
                <w:vertAlign w:val="superscript"/>
              </w:rPr>
            </w:pPr>
            <w:r w:rsidRPr="00AF0CED">
              <w:rPr>
                <w:color w:val="auto"/>
              </w:rPr>
              <w:t>0.74 ± 0.30</w:t>
            </w:r>
            <w:r w:rsidRPr="00AF0CED">
              <w:rPr>
                <w:color w:val="auto"/>
                <w:vertAlign w:val="superscript"/>
              </w:rPr>
              <w:t>b</w:t>
            </w:r>
          </w:p>
        </w:tc>
        <w:tc>
          <w:tcPr>
            <w:tcW w:w="1843" w:type="dxa"/>
          </w:tcPr>
          <w:p w14:paraId="4437D5C0" w14:textId="77777777" w:rsidR="002D3C02" w:rsidRPr="00AF0CED" w:rsidRDefault="002D3C02" w:rsidP="00573324">
            <w:pPr>
              <w:spacing w:line="360" w:lineRule="auto"/>
              <w:jc w:val="both"/>
              <w:rPr>
                <w:color w:val="auto"/>
                <w:vertAlign w:val="superscript"/>
              </w:rPr>
            </w:pPr>
            <w:r w:rsidRPr="00AF0CED">
              <w:rPr>
                <w:color w:val="auto"/>
              </w:rPr>
              <w:t>1.</w:t>
            </w:r>
            <w:r>
              <w:rPr>
                <w:color w:val="auto"/>
              </w:rPr>
              <w:t>40</w:t>
            </w:r>
            <w:r w:rsidRPr="00AF0CED">
              <w:rPr>
                <w:color w:val="auto"/>
              </w:rPr>
              <w:t xml:space="preserve"> ± 0.31</w:t>
            </w:r>
            <w:r w:rsidRPr="00AF0CED">
              <w:rPr>
                <w:color w:val="auto"/>
                <w:vertAlign w:val="superscript"/>
              </w:rPr>
              <w:t>bc</w:t>
            </w:r>
          </w:p>
        </w:tc>
        <w:tc>
          <w:tcPr>
            <w:tcW w:w="1700" w:type="dxa"/>
          </w:tcPr>
          <w:p w14:paraId="2D101126" w14:textId="77777777" w:rsidR="002D3C02" w:rsidRPr="00AF0CED" w:rsidRDefault="002D3C02" w:rsidP="00573324">
            <w:pPr>
              <w:spacing w:line="360" w:lineRule="auto"/>
              <w:jc w:val="both"/>
              <w:rPr>
                <w:color w:val="auto"/>
                <w:vertAlign w:val="superscript"/>
              </w:rPr>
            </w:pPr>
            <w:r w:rsidRPr="00AF0CED">
              <w:rPr>
                <w:color w:val="auto"/>
              </w:rPr>
              <w:t>1.53 ± 0.10</w:t>
            </w:r>
            <w:r w:rsidRPr="00AF0CED">
              <w:rPr>
                <w:color w:val="auto"/>
                <w:vertAlign w:val="superscript"/>
              </w:rPr>
              <w:t>c</w:t>
            </w:r>
          </w:p>
        </w:tc>
      </w:tr>
      <w:tr w:rsidR="002D3C02" w:rsidRPr="00AF0CED" w14:paraId="43771ACC" w14:textId="77777777" w:rsidTr="00573324">
        <w:tc>
          <w:tcPr>
            <w:tcW w:w="2405" w:type="dxa"/>
          </w:tcPr>
          <w:p w14:paraId="1E46E845" w14:textId="77777777" w:rsidR="002D3C02" w:rsidRPr="00AF0CED" w:rsidRDefault="002D3C02" w:rsidP="00573324">
            <w:pPr>
              <w:spacing w:line="360" w:lineRule="auto"/>
              <w:jc w:val="both"/>
              <w:rPr>
                <w:b/>
                <w:bCs/>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(150 mg/kg)</w:t>
            </w:r>
          </w:p>
        </w:tc>
        <w:tc>
          <w:tcPr>
            <w:tcW w:w="1701" w:type="dxa"/>
          </w:tcPr>
          <w:p w14:paraId="2149735D" w14:textId="77777777" w:rsidR="002D3C02" w:rsidRPr="00AF0CED" w:rsidRDefault="002D3C02" w:rsidP="00573324">
            <w:pPr>
              <w:spacing w:line="360" w:lineRule="auto"/>
              <w:jc w:val="both"/>
              <w:rPr>
                <w:color w:val="auto"/>
                <w:vertAlign w:val="superscript"/>
              </w:rPr>
            </w:pPr>
            <w:r w:rsidRPr="00AF0CED">
              <w:rPr>
                <w:color w:val="auto"/>
              </w:rPr>
              <w:t>1.</w:t>
            </w:r>
            <w:r>
              <w:rPr>
                <w:color w:val="auto"/>
              </w:rPr>
              <w:t>90</w:t>
            </w:r>
            <w:r w:rsidRPr="00AF0CED">
              <w:rPr>
                <w:color w:val="auto"/>
              </w:rPr>
              <w:t xml:space="preserve"> ± 0</w:t>
            </w:r>
            <w:r>
              <w:rPr>
                <w:color w:val="auto"/>
              </w:rPr>
              <w:t>.</w:t>
            </w:r>
            <w:r w:rsidRPr="00AF0CED">
              <w:rPr>
                <w:color w:val="auto"/>
              </w:rPr>
              <w:t>0</w:t>
            </w:r>
            <w:r>
              <w:rPr>
                <w:color w:val="auto"/>
              </w:rPr>
              <w:t>4</w:t>
            </w:r>
            <w:r w:rsidRPr="00AF0CED">
              <w:rPr>
                <w:color w:val="auto"/>
                <w:vertAlign w:val="superscript"/>
              </w:rPr>
              <w:t>a</w:t>
            </w:r>
          </w:p>
        </w:tc>
        <w:tc>
          <w:tcPr>
            <w:tcW w:w="1701" w:type="dxa"/>
          </w:tcPr>
          <w:p w14:paraId="19DB7787" w14:textId="77777777" w:rsidR="002D3C02" w:rsidRPr="00AF0CED" w:rsidRDefault="002D3C02" w:rsidP="00573324">
            <w:pPr>
              <w:spacing w:line="360" w:lineRule="auto"/>
              <w:jc w:val="both"/>
              <w:rPr>
                <w:color w:val="auto"/>
                <w:vertAlign w:val="superscript"/>
              </w:rPr>
            </w:pPr>
            <w:r w:rsidRPr="00AF0CED">
              <w:rPr>
                <w:color w:val="auto"/>
              </w:rPr>
              <w:t>0.80 ± 0.0</w:t>
            </w:r>
            <w:r>
              <w:rPr>
                <w:color w:val="auto"/>
              </w:rPr>
              <w:t>3</w:t>
            </w:r>
            <w:r w:rsidRPr="00AF0CED">
              <w:rPr>
                <w:color w:val="auto"/>
                <w:vertAlign w:val="superscript"/>
              </w:rPr>
              <w:t>b</w:t>
            </w:r>
          </w:p>
        </w:tc>
        <w:tc>
          <w:tcPr>
            <w:tcW w:w="1843" w:type="dxa"/>
          </w:tcPr>
          <w:p w14:paraId="13852720" w14:textId="77777777" w:rsidR="002D3C02" w:rsidRPr="00AF0CED" w:rsidRDefault="002D3C02" w:rsidP="00573324">
            <w:pPr>
              <w:spacing w:line="360" w:lineRule="auto"/>
              <w:jc w:val="both"/>
              <w:rPr>
                <w:color w:val="auto"/>
                <w:vertAlign w:val="superscript"/>
              </w:rPr>
            </w:pPr>
            <w:r w:rsidRPr="00AF0CED">
              <w:rPr>
                <w:color w:val="auto"/>
              </w:rPr>
              <w:t>3.</w:t>
            </w:r>
            <w:r>
              <w:rPr>
                <w:color w:val="auto"/>
              </w:rPr>
              <w:t>30</w:t>
            </w:r>
            <w:r w:rsidRPr="00AF0CED">
              <w:rPr>
                <w:color w:val="auto"/>
              </w:rPr>
              <w:t xml:space="preserve"> ± 0.08</w:t>
            </w:r>
            <w:r w:rsidRPr="00AF0CED">
              <w:rPr>
                <w:color w:val="auto"/>
                <w:vertAlign w:val="superscript"/>
              </w:rPr>
              <w:t>a</w:t>
            </w:r>
          </w:p>
        </w:tc>
        <w:tc>
          <w:tcPr>
            <w:tcW w:w="1700" w:type="dxa"/>
          </w:tcPr>
          <w:p w14:paraId="763AA920" w14:textId="77777777" w:rsidR="002D3C02" w:rsidRPr="00AF0CED" w:rsidRDefault="002D3C02" w:rsidP="00573324">
            <w:pPr>
              <w:spacing w:line="360" w:lineRule="auto"/>
              <w:jc w:val="both"/>
              <w:rPr>
                <w:color w:val="auto"/>
                <w:vertAlign w:val="superscript"/>
              </w:rPr>
            </w:pPr>
            <w:r w:rsidRPr="00AF0CED">
              <w:rPr>
                <w:color w:val="auto"/>
              </w:rPr>
              <w:t>1.48 ± 0.0</w:t>
            </w:r>
            <w:r>
              <w:rPr>
                <w:color w:val="auto"/>
              </w:rPr>
              <w:t>5</w:t>
            </w:r>
            <w:r w:rsidRPr="00AF0CED">
              <w:rPr>
                <w:color w:val="auto"/>
                <w:vertAlign w:val="superscript"/>
              </w:rPr>
              <w:t>c</w:t>
            </w:r>
          </w:p>
        </w:tc>
      </w:tr>
      <w:tr w:rsidR="002D3C02" w:rsidRPr="00AF0CED" w14:paraId="56D8A285" w14:textId="77777777" w:rsidTr="00573324">
        <w:tc>
          <w:tcPr>
            <w:tcW w:w="2405" w:type="dxa"/>
          </w:tcPr>
          <w:p w14:paraId="4B4BECC9" w14:textId="77777777" w:rsidR="002D3C02" w:rsidRPr="00AF0CED" w:rsidRDefault="002D3C02" w:rsidP="00573324">
            <w:pPr>
              <w:spacing w:line="360" w:lineRule="auto"/>
              <w:jc w:val="both"/>
              <w:rPr>
                <w:b/>
                <w:bCs/>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(300 mg/kg)</w:t>
            </w:r>
          </w:p>
        </w:tc>
        <w:tc>
          <w:tcPr>
            <w:tcW w:w="1701" w:type="dxa"/>
          </w:tcPr>
          <w:p w14:paraId="3AC7AB58" w14:textId="77777777" w:rsidR="002D3C02" w:rsidRPr="00AF0CED" w:rsidRDefault="002D3C02" w:rsidP="00573324">
            <w:pPr>
              <w:spacing w:line="360" w:lineRule="auto"/>
              <w:jc w:val="both"/>
              <w:rPr>
                <w:color w:val="auto"/>
                <w:vertAlign w:val="superscript"/>
              </w:rPr>
            </w:pPr>
            <w:r w:rsidRPr="00AF0CED">
              <w:rPr>
                <w:color w:val="auto"/>
              </w:rPr>
              <w:t>1.9</w:t>
            </w:r>
            <w:r>
              <w:rPr>
                <w:color w:val="auto"/>
              </w:rPr>
              <w:t>2</w:t>
            </w:r>
            <w:r w:rsidRPr="00AF0CED">
              <w:rPr>
                <w:color w:val="auto"/>
              </w:rPr>
              <w:t>± 0.0</w:t>
            </w:r>
            <w:r>
              <w:rPr>
                <w:color w:val="auto"/>
              </w:rPr>
              <w:t>4</w:t>
            </w:r>
            <w:r w:rsidRPr="00AF0CED">
              <w:rPr>
                <w:color w:val="auto"/>
                <w:vertAlign w:val="superscript"/>
              </w:rPr>
              <w:t>a</w:t>
            </w:r>
          </w:p>
        </w:tc>
        <w:tc>
          <w:tcPr>
            <w:tcW w:w="1701" w:type="dxa"/>
          </w:tcPr>
          <w:p w14:paraId="19051E05" w14:textId="77777777" w:rsidR="002D3C02" w:rsidRPr="00AF0CED" w:rsidRDefault="002D3C02" w:rsidP="00573324">
            <w:pPr>
              <w:spacing w:line="360" w:lineRule="auto"/>
              <w:jc w:val="both"/>
              <w:rPr>
                <w:color w:val="auto"/>
                <w:vertAlign w:val="superscript"/>
              </w:rPr>
            </w:pPr>
            <w:r w:rsidRPr="00AF0CED">
              <w:rPr>
                <w:color w:val="auto"/>
              </w:rPr>
              <w:t>0.63 ± 0.05</w:t>
            </w:r>
            <w:r w:rsidRPr="00AF0CED">
              <w:rPr>
                <w:color w:val="auto"/>
                <w:vertAlign w:val="superscript"/>
              </w:rPr>
              <w:t>c</w:t>
            </w:r>
          </w:p>
        </w:tc>
        <w:tc>
          <w:tcPr>
            <w:tcW w:w="1843" w:type="dxa"/>
          </w:tcPr>
          <w:p w14:paraId="745D717E" w14:textId="77777777" w:rsidR="002D3C02" w:rsidRPr="00AF0CED" w:rsidRDefault="002D3C02" w:rsidP="00573324">
            <w:pPr>
              <w:spacing w:line="360" w:lineRule="auto"/>
              <w:jc w:val="both"/>
              <w:rPr>
                <w:color w:val="auto"/>
                <w:vertAlign w:val="superscript"/>
              </w:rPr>
            </w:pPr>
            <w:r w:rsidRPr="00AF0CED">
              <w:rPr>
                <w:color w:val="auto"/>
              </w:rPr>
              <w:t>0.</w:t>
            </w:r>
            <w:r>
              <w:rPr>
                <w:color w:val="auto"/>
              </w:rPr>
              <w:t>10</w:t>
            </w:r>
            <w:r w:rsidRPr="00AF0CED">
              <w:rPr>
                <w:color w:val="auto"/>
              </w:rPr>
              <w:t xml:space="preserve"> ± 0.8</w:t>
            </w:r>
            <w:r>
              <w:rPr>
                <w:color w:val="auto"/>
              </w:rPr>
              <w:t>5</w:t>
            </w:r>
            <w:r w:rsidRPr="00AF0CED">
              <w:rPr>
                <w:color w:val="auto"/>
                <w:vertAlign w:val="superscript"/>
              </w:rPr>
              <w:t>c</w:t>
            </w:r>
          </w:p>
        </w:tc>
        <w:tc>
          <w:tcPr>
            <w:tcW w:w="1700" w:type="dxa"/>
          </w:tcPr>
          <w:p w14:paraId="3FD7DA25" w14:textId="77777777" w:rsidR="002D3C02" w:rsidRPr="00AF0CED" w:rsidRDefault="002D3C02" w:rsidP="00573324">
            <w:pPr>
              <w:spacing w:line="360" w:lineRule="auto"/>
              <w:jc w:val="both"/>
              <w:rPr>
                <w:color w:val="auto"/>
                <w:vertAlign w:val="superscript"/>
              </w:rPr>
            </w:pPr>
            <w:r w:rsidRPr="00AF0CED">
              <w:rPr>
                <w:color w:val="auto"/>
              </w:rPr>
              <w:t>2.1</w:t>
            </w:r>
            <w:r>
              <w:rPr>
                <w:color w:val="auto"/>
              </w:rPr>
              <w:t>6</w:t>
            </w:r>
            <w:r w:rsidRPr="00AF0CED">
              <w:rPr>
                <w:color w:val="auto"/>
              </w:rPr>
              <w:t xml:space="preserve"> ± 0.12</w:t>
            </w:r>
            <w:r w:rsidRPr="00AF0CED">
              <w:rPr>
                <w:color w:val="auto"/>
                <w:vertAlign w:val="superscript"/>
              </w:rPr>
              <w:t>b</w:t>
            </w:r>
          </w:p>
        </w:tc>
      </w:tr>
      <w:tr w:rsidR="002D3C02" w:rsidRPr="00AF0CED" w14:paraId="3094C238" w14:textId="77777777" w:rsidTr="00573324">
        <w:tc>
          <w:tcPr>
            <w:tcW w:w="2405" w:type="dxa"/>
          </w:tcPr>
          <w:p w14:paraId="4FDFA36E" w14:textId="77777777" w:rsidR="002D3C02" w:rsidRPr="00AF0CED" w:rsidRDefault="002D3C02" w:rsidP="00573324">
            <w:pPr>
              <w:spacing w:line="360" w:lineRule="auto"/>
              <w:jc w:val="both"/>
              <w:rPr>
                <w:b/>
                <w:bCs/>
                <w:color w:val="auto"/>
              </w:rPr>
            </w:pPr>
            <w:r w:rsidRPr="00AF0CED">
              <w:rPr>
                <w:bCs/>
                <w:color w:val="auto"/>
              </w:rPr>
              <w:t>Vigna subterranea (150 mg/kg)</w:t>
            </w:r>
          </w:p>
        </w:tc>
        <w:tc>
          <w:tcPr>
            <w:tcW w:w="1701" w:type="dxa"/>
          </w:tcPr>
          <w:p w14:paraId="518D8801" w14:textId="77777777" w:rsidR="002D3C02" w:rsidRPr="00AF0CED" w:rsidRDefault="002D3C02" w:rsidP="00573324">
            <w:pPr>
              <w:spacing w:after="160" w:line="360" w:lineRule="auto"/>
              <w:jc w:val="both"/>
              <w:rPr>
                <w:bCs/>
                <w:color w:val="auto"/>
                <w:vertAlign w:val="superscript"/>
                <w:lang w:val="en-GB"/>
              </w:rPr>
            </w:pPr>
            <w:r w:rsidRPr="00AF0CED">
              <w:rPr>
                <w:bCs/>
                <w:color w:val="auto"/>
                <w:lang w:val="en-GB"/>
              </w:rPr>
              <w:t>1.62 ± 0.</w:t>
            </w:r>
            <w:r>
              <w:rPr>
                <w:bCs/>
                <w:color w:val="auto"/>
                <w:lang w:val="en-GB"/>
              </w:rPr>
              <w:t>10</w:t>
            </w:r>
            <w:r w:rsidRPr="00AF0CED">
              <w:rPr>
                <w:bCs/>
                <w:color w:val="auto"/>
                <w:vertAlign w:val="superscript"/>
                <w:lang w:val="en-GB"/>
              </w:rPr>
              <w:t>b</w:t>
            </w:r>
          </w:p>
          <w:p w14:paraId="3DA76E6C" w14:textId="77777777" w:rsidR="002D3C02" w:rsidRPr="00AF0CED" w:rsidRDefault="002D3C02" w:rsidP="00573324">
            <w:pPr>
              <w:spacing w:line="360" w:lineRule="auto"/>
              <w:jc w:val="both"/>
              <w:rPr>
                <w:b/>
                <w:bCs/>
                <w:color w:val="auto"/>
              </w:rPr>
            </w:pPr>
          </w:p>
        </w:tc>
        <w:tc>
          <w:tcPr>
            <w:tcW w:w="1701" w:type="dxa"/>
          </w:tcPr>
          <w:p w14:paraId="5B43F9D4" w14:textId="77777777" w:rsidR="002D3C02" w:rsidRPr="00AF0CED" w:rsidRDefault="002D3C02" w:rsidP="00573324">
            <w:pPr>
              <w:spacing w:line="360" w:lineRule="auto"/>
              <w:jc w:val="both"/>
              <w:rPr>
                <w:b/>
                <w:bCs/>
                <w:color w:val="auto"/>
              </w:rPr>
            </w:pPr>
            <w:r w:rsidRPr="00AF0CED">
              <w:rPr>
                <w:bCs/>
                <w:color w:val="auto"/>
                <w:lang w:val="en-GB"/>
              </w:rPr>
              <w:t>1.</w:t>
            </w:r>
            <w:r>
              <w:rPr>
                <w:bCs/>
                <w:color w:val="auto"/>
                <w:lang w:val="en-GB"/>
              </w:rPr>
              <w:t>60</w:t>
            </w:r>
            <w:r w:rsidRPr="00AF0CED">
              <w:rPr>
                <w:bCs/>
                <w:color w:val="auto"/>
                <w:lang w:val="en-GB"/>
              </w:rPr>
              <w:t xml:space="preserve"> ± 0.2</w:t>
            </w:r>
            <w:r>
              <w:rPr>
                <w:bCs/>
                <w:color w:val="auto"/>
                <w:lang w:val="en-GB"/>
              </w:rPr>
              <w:t>6</w:t>
            </w:r>
            <w:r w:rsidRPr="00AF0CED">
              <w:rPr>
                <w:bCs/>
                <w:color w:val="auto"/>
                <w:vertAlign w:val="superscript"/>
                <w:lang w:val="en-GB"/>
              </w:rPr>
              <w:t>a</w:t>
            </w:r>
          </w:p>
        </w:tc>
        <w:tc>
          <w:tcPr>
            <w:tcW w:w="1843" w:type="dxa"/>
          </w:tcPr>
          <w:p w14:paraId="59D416A0" w14:textId="77777777" w:rsidR="002D3C02" w:rsidRPr="00AF0CED" w:rsidRDefault="002D3C02" w:rsidP="00573324">
            <w:pPr>
              <w:spacing w:after="160" w:line="360" w:lineRule="auto"/>
              <w:jc w:val="both"/>
              <w:rPr>
                <w:bCs/>
                <w:color w:val="auto"/>
                <w:vertAlign w:val="superscript"/>
                <w:lang w:val="en-GB"/>
              </w:rPr>
            </w:pPr>
            <w:r w:rsidRPr="00AF0CED">
              <w:rPr>
                <w:bCs/>
                <w:color w:val="auto"/>
                <w:lang w:val="en-GB"/>
              </w:rPr>
              <w:t>2.18 ± 0.0</w:t>
            </w:r>
            <w:r>
              <w:rPr>
                <w:bCs/>
                <w:color w:val="auto"/>
                <w:lang w:val="en-GB"/>
              </w:rPr>
              <w:t>1</w:t>
            </w:r>
            <w:r w:rsidRPr="00AF0CED">
              <w:rPr>
                <w:bCs/>
                <w:color w:val="auto"/>
                <w:vertAlign w:val="superscript"/>
                <w:lang w:val="en-GB"/>
              </w:rPr>
              <w:t>b</w:t>
            </w:r>
          </w:p>
          <w:p w14:paraId="3874E572" w14:textId="77777777" w:rsidR="002D3C02" w:rsidRPr="00AF0CED" w:rsidRDefault="002D3C02" w:rsidP="00573324">
            <w:pPr>
              <w:spacing w:line="360" w:lineRule="auto"/>
              <w:jc w:val="both"/>
              <w:rPr>
                <w:b/>
                <w:bCs/>
                <w:color w:val="auto"/>
              </w:rPr>
            </w:pPr>
          </w:p>
        </w:tc>
        <w:tc>
          <w:tcPr>
            <w:tcW w:w="1700" w:type="dxa"/>
          </w:tcPr>
          <w:p w14:paraId="779320C6" w14:textId="77777777" w:rsidR="002D3C02" w:rsidRPr="00AF0CED" w:rsidRDefault="002D3C02" w:rsidP="00573324">
            <w:pPr>
              <w:spacing w:after="160" w:line="360" w:lineRule="auto"/>
              <w:jc w:val="both"/>
              <w:rPr>
                <w:bCs/>
                <w:color w:val="auto"/>
                <w:vertAlign w:val="superscript"/>
                <w:lang w:val="en-GB"/>
              </w:rPr>
            </w:pPr>
            <w:r w:rsidRPr="00AF0CED">
              <w:rPr>
                <w:bCs/>
                <w:color w:val="auto"/>
                <w:lang w:val="en-GB"/>
              </w:rPr>
              <w:t>1.58 ± 0.06</w:t>
            </w:r>
            <w:r w:rsidRPr="00AF0CED">
              <w:rPr>
                <w:bCs/>
                <w:color w:val="auto"/>
                <w:vertAlign w:val="superscript"/>
                <w:lang w:val="en-GB"/>
              </w:rPr>
              <w:t>b</w:t>
            </w:r>
          </w:p>
          <w:p w14:paraId="625D4E61" w14:textId="77777777" w:rsidR="002D3C02" w:rsidRPr="00AF0CED" w:rsidRDefault="002D3C02" w:rsidP="00573324">
            <w:pPr>
              <w:spacing w:line="360" w:lineRule="auto"/>
              <w:jc w:val="both"/>
              <w:rPr>
                <w:b/>
                <w:bCs/>
                <w:color w:val="auto"/>
              </w:rPr>
            </w:pPr>
          </w:p>
        </w:tc>
      </w:tr>
      <w:tr w:rsidR="002D3C02" w:rsidRPr="00AF0CED" w14:paraId="0000EE0C" w14:textId="77777777" w:rsidTr="00573324">
        <w:tc>
          <w:tcPr>
            <w:tcW w:w="2405" w:type="dxa"/>
          </w:tcPr>
          <w:p w14:paraId="55EBB629" w14:textId="77777777" w:rsidR="002D3C02" w:rsidRPr="00AF0CED" w:rsidRDefault="002D3C02" w:rsidP="00573324">
            <w:pPr>
              <w:spacing w:line="360" w:lineRule="auto"/>
              <w:jc w:val="both"/>
              <w:rPr>
                <w:b/>
                <w:bCs/>
                <w:color w:val="auto"/>
              </w:rPr>
            </w:pPr>
            <w:r w:rsidRPr="00AF0CED">
              <w:rPr>
                <w:bCs/>
                <w:color w:val="auto"/>
              </w:rPr>
              <w:t>Vigna subterranea (300 mg/kg)</w:t>
            </w:r>
          </w:p>
        </w:tc>
        <w:tc>
          <w:tcPr>
            <w:tcW w:w="1701" w:type="dxa"/>
          </w:tcPr>
          <w:p w14:paraId="4EB8183D" w14:textId="77777777" w:rsidR="002D3C02" w:rsidRPr="00AF0CED" w:rsidRDefault="002D3C02" w:rsidP="00573324">
            <w:pPr>
              <w:spacing w:line="360" w:lineRule="auto"/>
              <w:jc w:val="both"/>
              <w:rPr>
                <w:b/>
                <w:bCs/>
                <w:color w:val="auto"/>
              </w:rPr>
            </w:pPr>
            <w:r w:rsidRPr="00AF0CED">
              <w:rPr>
                <w:bCs/>
                <w:color w:val="auto"/>
                <w:lang w:val="en-GB"/>
              </w:rPr>
              <w:t>1.91 ± 0.04</w:t>
            </w:r>
            <w:r w:rsidRPr="00AF0CED">
              <w:rPr>
                <w:bCs/>
                <w:color w:val="auto"/>
                <w:vertAlign w:val="superscript"/>
                <w:lang w:val="en-GB"/>
              </w:rPr>
              <w:t>a</w:t>
            </w:r>
          </w:p>
        </w:tc>
        <w:tc>
          <w:tcPr>
            <w:tcW w:w="1701" w:type="dxa"/>
          </w:tcPr>
          <w:p w14:paraId="0786B1BB" w14:textId="77777777" w:rsidR="002D3C02" w:rsidRPr="00AF0CED" w:rsidRDefault="002D3C02" w:rsidP="00573324">
            <w:pPr>
              <w:spacing w:line="360" w:lineRule="auto"/>
              <w:jc w:val="both"/>
              <w:rPr>
                <w:b/>
                <w:bCs/>
                <w:color w:val="auto"/>
              </w:rPr>
            </w:pPr>
            <w:r w:rsidRPr="00AF0CED">
              <w:rPr>
                <w:bCs/>
                <w:color w:val="auto"/>
                <w:lang w:val="en-GB"/>
              </w:rPr>
              <w:t>1.8</w:t>
            </w:r>
            <w:r>
              <w:rPr>
                <w:bCs/>
                <w:color w:val="auto"/>
                <w:lang w:val="en-GB"/>
              </w:rPr>
              <w:t>3</w:t>
            </w:r>
            <w:r w:rsidRPr="00AF0CED">
              <w:rPr>
                <w:bCs/>
                <w:color w:val="auto"/>
                <w:lang w:val="en-GB"/>
              </w:rPr>
              <w:t xml:space="preserve"> ± 0.02</w:t>
            </w:r>
            <w:r w:rsidRPr="00AF0CED">
              <w:rPr>
                <w:bCs/>
                <w:color w:val="auto"/>
                <w:vertAlign w:val="superscript"/>
                <w:lang w:val="en-GB"/>
              </w:rPr>
              <w:t>a</w:t>
            </w:r>
          </w:p>
        </w:tc>
        <w:tc>
          <w:tcPr>
            <w:tcW w:w="1843" w:type="dxa"/>
          </w:tcPr>
          <w:p w14:paraId="555D170B" w14:textId="77777777" w:rsidR="002D3C02" w:rsidRPr="00AF0CED" w:rsidRDefault="002D3C02" w:rsidP="00573324">
            <w:pPr>
              <w:spacing w:line="360" w:lineRule="auto"/>
              <w:jc w:val="both"/>
              <w:rPr>
                <w:b/>
                <w:bCs/>
                <w:color w:val="auto"/>
              </w:rPr>
            </w:pPr>
            <w:r w:rsidRPr="00AF0CED">
              <w:rPr>
                <w:bCs/>
                <w:color w:val="auto"/>
                <w:lang w:val="en-GB"/>
              </w:rPr>
              <w:t>4.80 ± 0.19</w:t>
            </w:r>
            <w:r w:rsidRPr="00AF0CED">
              <w:rPr>
                <w:bCs/>
                <w:color w:val="auto"/>
                <w:vertAlign w:val="superscript"/>
                <w:lang w:val="en-GB"/>
              </w:rPr>
              <w:t>a</w:t>
            </w:r>
          </w:p>
        </w:tc>
        <w:tc>
          <w:tcPr>
            <w:tcW w:w="1700" w:type="dxa"/>
          </w:tcPr>
          <w:p w14:paraId="6F49DF1A" w14:textId="77777777" w:rsidR="002D3C02" w:rsidRPr="00AF0CED" w:rsidRDefault="002D3C02" w:rsidP="00573324">
            <w:pPr>
              <w:spacing w:line="360" w:lineRule="auto"/>
              <w:jc w:val="both"/>
              <w:rPr>
                <w:b/>
                <w:bCs/>
                <w:color w:val="auto"/>
              </w:rPr>
            </w:pPr>
            <w:r w:rsidRPr="00AF0CED">
              <w:rPr>
                <w:bCs/>
                <w:color w:val="auto"/>
                <w:lang w:val="en-GB"/>
              </w:rPr>
              <w:t>1.88 ± 0.12</w:t>
            </w:r>
            <w:r w:rsidRPr="00AF0CED">
              <w:rPr>
                <w:bCs/>
                <w:color w:val="auto"/>
                <w:vertAlign w:val="superscript"/>
                <w:lang w:val="en-GB"/>
              </w:rPr>
              <w:t>b</w:t>
            </w:r>
          </w:p>
        </w:tc>
      </w:tr>
    </w:tbl>
    <w:p w14:paraId="3EB8F0BE" w14:textId="77777777" w:rsidR="002D3C02" w:rsidRPr="00AF0CED" w:rsidRDefault="002D3C02" w:rsidP="002D3C02">
      <w:pPr>
        <w:spacing w:line="360" w:lineRule="auto"/>
        <w:jc w:val="both"/>
      </w:pPr>
      <w:r w:rsidRPr="00AF0CED">
        <w:t>Values are expressed as means ± SEM. Means sharing common letter(s) in the same column are not significantly different (p &lt; 0.05)</w:t>
      </w:r>
    </w:p>
    <w:p w14:paraId="57F86D35" w14:textId="77777777" w:rsidR="002D3C02" w:rsidRPr="00AF0CED" w:rsidRDefault="002D3C02" w:rsidP="002D3C02">
      <w:pPr>
        <w:spacing w:line="360" w:lineRule="auto"/>
        <w:jc w:val="both"/>
      </w:pPr>
    </w:p>
    <w:p w14:paraId="70827D1E" w14:textId="77777777" w:rsidR="002D3C02" w:rsidRPr="00AF0CED" w:rsidRDefault="002D3C02" w:rsidP="002D3C02">
      <w:pPr>
        <w:spacing w:line="360" w:lineRule="auto"/>
        <w:jc w:val="both"/>
        <w:rPr>
          <w:b/>
          <w:bCs/>
          <w:lang w:val="en-GB"/>
        </w:rPr>
      </w:pPr>
      <w:r w:rsidRPr="00AF0CED">
        <w:rPr>
          <w:b/>
          <w:bCs/>
          <w:lang w:val="en-GB"/>
        </w:rPr>
        <w:t xml:space="preserve">Table 5. </w:t>
      </w:r>
      <w:r w:rsidRPr="00AF0CED">
        <w:rPr>
          <w:bCs/>
          <w:lang w:val="en-GB"/>
        </w:rPr>
        <w:t>Effect of n-butanol fraction of plants on CHOL/HDL ratio of rats</w:t>
      </w:r>
      <w:r>
        <w:rPr>
          <w:bCs/>
          <w:lang w:val="en-GB"/>
        </w:rPr>
        <w:t xml:space="preserve"> </w:t>
      </w:r>
    </w:p>
    <w:tbl>
      <w:tblPr>
        <w:tblStyle w:val="ListTable6Colorful"/>
        <w:tblW w:w="0" w:type="auto"/>
        <w:tblLook w:val="0620" w:firstRow="1" w:lastRow="0" w:firstColumn="0" w:lastColumn="0" w:noHBand="1" w:noVBand="1"/>
      </w:tblPr>
      <w:tblGrid>
        <w:gridCol w:w="2410"/>
        <w:gridCol w:w="1843"/>
        <w:gridCol w:w="1701"/>
        <w:gridCol w:w="1701"/>
        <w:gridCol w:w="1695"/>
      </w:tblGrid>
      <w:tr w:rsidR="002D3C02" w:rsidRPr="00AF0CED" w14:paraId="2BF9D5F6" w14:textId="77777777" w:rsidTr="00573324">
        <w:trPr>
          <w:cnfStyle w:val="100000000000" w:firstRow="1" w:lastRow="0" w:firstColumn="0" w:lastColumn="0" w:oddVBand="0" w:evenVBand="0" w:oddHBand="0" w:evenHBand="0" w:firstRowFirstColumn="0" w:firstRowLastColumn="0" w:lastRowFirstColumn="0" w:lastRowLastColumn="0"/>
        </w:trPr>
        <w:tc>
          <w:tcPr>
            <w:tcW w:w="2410" w:type="dxa"/>
          </w:tcPr>
          <w:p w14:paraId="5906D332" w14:textId="77777777" w:rsidR="002D3C02" w:rsidRPr="00AF0CED" w:rsidRDefault="002D3C02" w:rsidP="00573324">
            <w:pPr>
              <w:spacing w:line="360" w:lineRule="auto"/>
              <w:jc w:val="both"/>
              <w:rPr>
                <w:b w:val="0"/>
                <w:bCs w:val="0"/>
                <w:color w:val="auto"/>
              </w:rPr>
            </w:pPr>
            <w:r w:rsidRPr="00AF0CED">
              <w:rPr>
                <w:color w:val="auto"/>
              </w:rPr>
              <w:t>Treatment</w:t>
            </w:r>
          </w:p>
        </w:tc>
        <w:tc>
          <w:tcPr>
            <w:tcW w:w="1843" w:type="dxa"/>
          </w:tcPr>
          <w:p w14:paraId="75E10332" w14:textId="77777777" w:rsidR="002D3C02" w:rsidRPr="00AF0CED" w:rsidRDefault="002D3C02" w:rsidP="00573324">
            <w:pPr>
              <w:spacing w:line="360" w:lineRule="auto"/>
              <w:jc w:val="both"/>
              <w:rPr>
                <w:b w:val="0"/>
                <w:bCs w:val="0"/>
                <w:color w:val="auto"/>
              </w:rPr>
            </w:pPr>
            <w:r w:rsidRPr="00AF0CED">
              <w:rPr>
                <w:color w:val="auto"/>
              </w:rPr>
              <w:t>0 h</w:t>
            </w:r>
          </w:p>
        </w:tc>
        <w:tc>
          <w:tcPr>
            <w:tcW w:w="1701" w:type="dxa"/>
          </w:tcPr>
          <w:p w14:paraId="544493CB" w14:textId="77777777" w:rsidR="002D3C02" w:rsidRPr="00AF0CED" w:rsidRDefault="002D3C02" w:rsidP="00573324">
            <w:pPr>
              <w:spacing w:line="360" w:lineRule="auto"/>
              <w:jc w:val="both"/>
              <w:rPr>
                <w:b w:val="0"/>
                <w:bCs w:val="0"/>
                <w:color w:val="auto"/>
              </w:rPr>
            </w:pPr>
            <w:r w:rsidRPr="00AF0CED">
              <w:rPr>
                <w:color w:val="auto"/>
              </w:rPr>
              <w:t>3 h</w:t>
            </w:r>
          </w:p>
        </w:tc>
        <w:tc>
          <w:tcPr>
            <w:tcW w:w="1701" w:type="dxa"/>
          </w:tcPr>
          <w:p w14:paraId="65E6ABAF" w14:textId="77777777" w:rsidR="002D3C02" w:rsidRPr="00AF0CED" w:rsidRDefault="002D3C02" w:rsidP="00573324">
            <w:pPr>
              <w:spacing w:line="360" w:lineRule="auto"/>
              <w:jc w:val="both"/>
              <w:rPr>
                <w:b w:val="0"/>
                <w:bCs w:val="0"/>
                <w:color w:val="auto"/>
              </w:rPr>
            </w:pPr>
            <w:r w:rsidRPr="00AF0CED">
              <w:rPr>
                <w:color w:val="auto"/>
              </w:rPr>
              <w:t>24 h</w:t>
            </w:r>
          </w:p>
        </w:tc>
        <w:tc>
          <w:tcPr>
            <w:tcW w:w="1695" w:type="dxa"/>
          </w:tcPr>
          <w:p w14:paraId="5D5549B7" w14:textId="77777777" w:rsidR="002D3C02" w:rsidRPr="00AF0CED" w:rsidRDefault="002D3C02" w:rsidP="00573324">
            <w:pPr>
              <w:spacing w:line="360" w:lineRule="auto"/>
              <w:jc w:val="both"/>
              <w:rPr>
                <w:b w:val="0"/>
                <w:bCs w:val="0"/>
                <w:color w:val="auto"/>
              </w:rPr>
            </w:pPr>
            <w:r w:rsidRPr="00AF0CED">
              <w:rPr>
                <w:color w:val="auto"/>
              </w:rPr>
              <w:t>48 h</w:t>
            </w:r>
          </w:p>
        </w:tc>
      </w:tr>
      <w:tr w:rsidR="002D3C02" w:rsidRPr="00AF0CED" w14:paraId="2B871930" w14:textId="77777777" w:rsidTr="00573324">
        <w:tc>
          <w:tcPr>
            <w:tcW w:w="2410" w:type="dxa"/>
          </w:tcPr>
          <w:p w14:paraId="2A920819" w14:textId="77777777" w:rsidR="002D3C02" w:rsidRPr="00AF0CED" w:rsidRDefault="002D3C02" w:rsidP="00573324">
            <w:pPr>
              <w:spacing w:line="360" w:lineRule="auto"/>
              <w:jc w:val="both"/>
              <w:rPr>
                <w:b/>
                <w:bCs/>
                <w:color w:val="auto"/>
              </w:rPr>
            </w:pPr>
            <w:r w:rsidRPr="00AF0CED">
              <w:rPr>
                <w:bCs/>
                <w:color w:val="auto"/>
              </w:rPr>
              <w:t>Normal Control</w:t>
            </w:r>
          </w:p>
        </w:tc>
        <w:tc>
          <w:tcPr>
            <w:tcW w:w="1843" w:type="dxa"/>
          </w:tcPr>
          <w:p w14:paraId="3F4D76BB" w14:textId="77777777" w:rsidR="002D3C02" w:rsidRPr="00AF0CED" w:rsidRDefault="002D3C02" w:rsidP="00573324">
            <w:pPr>
              <w:spacing w:line="360" w:lineRule="auto"/>
              <w:jc w:val="both"/>
              <w:rPr>
                <w:color w:val="auto"/>
                <w:vertAlign w:val="superscript"/>
              </w:rPr>
            </w:pPr>
            <w:r w:rsidRPr="00AF0CED">
              <w:rPr>
                <w:color w:val="auto"/>
              </w:rPr>
              <w:t>6.54 ± 0.15</w:t>
            </w:r>
            <w:r w:rsidRPr="00AF0CED">
              <w:rPr>
                <w:color w:val="auto"/>
                <w:vertAlign w:val="superscript"/>
              </w:rPr>
              <w:t>a</w:t>
            </w:r>
          </w:p>
        </w:tc>
        <w:tc>
          <w:tcPr>
            <w:tcW w:w="1701" w:type="dxa"/>
          </w:tcPr>
          <w:p w14:paraId="19D0C0FF" w14:textId="77777777" w:rsidR="002D3C02" w:rsidRPr="00AF0CED" w:rsidRDefault="002D3C02" w:rsidP="00573324">
            <w:pPr>
              <w:spacing w:line="360" w:lineRule="auto"/>
              <w:jc w:val="both"/>
              <w:rPr>
                <w:color w:val="auto"/>
                <w:vertAlign w:val="superscript"/>
              </w:rPr>
            </w:pPr>
            <w:r w:rsidRPr="00AF0CED">
              <w:rPr>
                <w:color w:val="auto"/>
              </w:rPr>
              <w:t>6.1</w:t>
            </w:r>
            <w:r>
              <w:rPr>
                <w:color w:val="auto"/>
              </w:rPr>
              <w:t>5</w:t>
            </w:r>
            <w:r w:rsidRPr="00AF0CED">
              <w:rPr>
                <w:color w:val="auto"/>
              </w:rPr>
              <w:t xml:space="preserve"> ± 0.13</w:t>
            </w:r>
            <w:r w:rsidRPr="00AF0CED">
              <w:rPr>
                <w:color w:val="auto"/>
                <w:vertAlign w:val="superscript"/>
              </w:rPr>
              <w:t>a</w:t>
            </w:r>
          </w:p>
        </w:tc>
        <w:tc>
          <w:tcPr>
            <w:tcW w:w="1701" w:type="dxa"/>
          </w:tcPr>
          <w:p w14:paraId="7888C10A" w14:textId="77777777" w:rsidR="002D3C02" w:rsidRPr="00AF0CED" w:rsidRDefault="002D3C02" w:rsidP="00573324">
            <w:pPr>
              <w:spacing w:line="360" w:lineRule="auto"/>
              <w:jc w:val="both"/>
              <w:rPr>
                <w:color w:val="auto"/>
                <w:vertAlign w:val="superscript"/>
              </w:rPr>
            </w:pPr>
            <w:r w:rsidRPr="00AF0CED">
              <w:rPr>
                <w:color w:val="auto"/>
              </w:rPr>
              <w:t>6.56± 0.0</w:t>
            </w:r>
            <w:r>
              <w:rPr>
                <w:color w:val="auto"/>
              </w:rPr>
              <w:t>6</w:t>
            </w:r>
            <w:r w:rsidRPr="00AF0CED">
              <w:rPr>
                <w:color w:val="auto"/>
                <w:vertAlign w:val="superscript"/>
              </w:rPr>
              <w:t>a</w:t>
            </w:r>
          </w:p>
        </w:tc>
        <w:tc>
          <w:tcPr>
            <w:tcW w:w="1695" w:type="dxa"/>
          </w:tcPr>
          <w:p w14:paraId="316284A2" w14:textId="77777777" w:rsidR="002D3C02" w:rsidRPr="00AF0CED" w:rsidRDefault="002D3C02" w:rsidP="00573324">
            <w:pPr>
              <w:spacing w:line="360" w:lineRule="auto"/>
              <w:jc w:val="both"/>
              <w:rPr>
                <w:color w:val="auto"/>
                <w:vertAlign w:val="superscript"/>
              </w:rPr>
            </w:pPr>
            <w:r w:rsidRPr="00AF0CED">
              <w:rPr>
                <w:color w:val="auto"/>
              </w:rPr>
              <w:t>6.3</w:t>
            </w:r>
            <w:r>
              <w:rPr>
                <w:color w:val="auto"/>
              </w:rPr>
              <w:t>5</w:t>
            </w:r>
            <w:r w:rsidRPr="00AF0CED">
              <w:rPr>
                <w:color w:val="auto"/>
              </w:rPr>
              <w:t xml:space="preserve"> ± 0.20</w:t>
            </w:r>
            <w:r w:rsidRPr="00AF0CED">
              <w:rPr>
                <w:color w:val="auto"/>
                <w:vertAlign w:val="superscript"/>
              </w:rPr>
              <w:t>a</w:t>
            </w:r>
          </w:p>
        </w:tc>
      </w:tr>
      <w:tr w:rsidR="002D3C02" w:rsidRPr="00AF0CED" w14:paraId="4338A0E4" w14:textId="77777777" w:rsidTr="00573324">
        <w:tc>
          <w:tcPr>
            <w:tcW w:w="2410" w:type="dxa"/>
          </w:tcPr>
          <w:p w14:paraId="78DE1436" w14:textId="77777777" w:rsidR="002D3C02" w:rsidRPr="00AF0CED" w:rsidRDefault="002D3C02" w:rsidP="00573324">
            <w:pPr>
              <w:spacing w:line="360" w:lineRule="auto"/>
              <w:jc w:val="both"/>
              <w:rPr>
                <w:b/>
                <w:bCs/>
                <w:color w:val="auto"/>
              </w:rPr>
            </w:pPr>
            <w:r w:rsidRPr="00AF0CED">
              <w:rPr>
                <w:bCs/>
                <w:color w:val="auto"/>
              </w:rPr>
              <w:t>Hyperlipidemic control</w:t>
            </w:r>
          </w:p>
        </w:tc>
        <w:tc>
          <w:tcPr>
            <w:tcW w:w="1843" w:type="dxa"/>
          </w:tcPr>
          <w:p w14:paraId="7ABA4A48" w14:textId="77777777" w:rsidR="002D3C02" w:rsidRPr="00AF0CED" w:rsidRDefault="002D3C02" w:rsidP="00573324">
            <w:pPr>
              <w:spacing w:line="360" w:lineRule="auto"/>
              <w:jc w:val="both"/>
              <w:rPr>
                <w:color w:val="auto"/>
                <w:vertAlign w:val="superscript"/>
              </w:rPr>
            </w:pPr>
            <w:r w:rsidRPr="00AF0CED">
              <w:rPr>
                <w:color w:val="auto"/>
              </w:rPr>
              <w:t>6.25 ± 0.2</w:t>
            </w:r>
            <w:r>
              <w:rPr>
                <w:color w:val="auto"/>
              </w:rPr>
              <w:t>1</w:t>
            </w:r>
            <w:r w:rsidRPr="00AF0CED">
              <w:rPr>
                <w:color w:val="auto"/>
                <w:vertAlign w:val="superscript"/>
              </w:rPr>
              <w:t>a</w:t>
            </w:r>
          </w:p>
        </w:tc>
        <w:tc>
          <w:tcPr>
            <w:tcW w:w="1701" w:type="dxa"/>
          </w:tcPr>
          <w:p w14:paraId="57C0B74C" w14:textId="77777777" w:rsidR="002D3C02" w:rsidRPr="00AF0CED" w:rsidRDefault="002D3C02" w:rsidP="00573324">
            <w:pPr>
              <w:spacing w:line="360" w:lineRule="auto"/>
              <w:jc w:val="both"/>
              <w:rPr>
                <w:color w:val="auto"/>
                <w:vertAlign w:val="superscript"/>
              </w:rPr>
            </w:pPr>
            <w:r w:rsidRPr="00AF0CED">
              <w:rPr>
                <w:color w:val="auto"/>
              </w:rPr>
              <w:t>5.76 ± 0.1</w:t>
            </w:r>
            <w:r>
              <w:rPr>
                <w:color w:val="auto"/>
              </w:rPr>
              <w:t>2</w:t>
            </w:r>
            <w:r w:rsidRPr="00AF0CED">
              <w:rPr>
                <w:color w:val="auto"/>
                <w:vertAlign w:val="superscript"/>
              </w:rPr>
              <w:t>a</w:t>
            </w:r>
          </w:p>
        </w:tc>
        <w:tc>
          <w:tcPr>
            <w:tcW w:w="1701" w:type="dxa"/>
          </w:tcPr>
          <w:p w14:paraId="1744C44A" w14:textId="77777777" w:rsidR="002D3C02" w:rsidRPr="00AF0CED" w:rsidRDefault="002D3C02" w:rsidP="00573324">
            <w:pPr>
              <w:spacing w:line="360" w:lineRule="auto"/>
              <w:jc w:val="both"/>
              <w:rPr>
                <w:color w:val="auto"/>
                <w:vertAlign w:val="superscript"/>
              </w:rPr>
            </w:pPr>
            <w:r w:rsidRPr="00AF0CED">
              <w:rPr>
                <w:color w:val="auto"/>
              </w:rPr>
              <w:t>1.82 ± 0.11</w:t>
            </w:r>
            <w:r w:rsidRPr="00AF0CED">
              <w:rPr>
                <w:color w:val="auto"/>
                <w:vertAlign w:val="superscript"/>
              </w:rPr>
              <w:t>d</w:t>
            </w:r>
          </w:p>
        </w:tc>
        <w:tc>
          <w:tcPr>
            <w:tcW w:w="1695" w:type="dxa"/>
          </w:tcPr>
          <w:p w14:paraId="442B1104" w14:textId="77777777" w:rsidR="002D3C02" w:rsidRPr="00AF0CED" w:rsidRDefault="002D3C02" w:rsidP="00573324">
            <w:pPr>
              <w:spacing w:line="360" w:lineRule="auto"/>
              <w:jc w:val="both"/>
              <w:rPr>
                <w:color w:val="auto"/>
                <w:vertAlign w:val="superscript"/>
              </w:rPr>
            </w:pPr>
            <w:r w:rsidRPr="00AF0CED">
              <w:rPr>
                <w:color w:val="auto"/>
              </w:rPr>
              <w:t>2.5</w:t>
            </w:r>
            <w:r>
              <w:rPr>
                <w:color w:val="auto"/>
              </w:rPr>
              <w:t>8</w:t>
            </w:r>
            <w:r w:rsidRPr="00AF0CED">
              <w:rPr>
                <w:color w:val="auto"/>
              </w:rPr>
              <w:t xml:space="preserve"> ± 0.13</w:t>
            </w:r>
            <w:r w:rsidRPr="00AF0CED">
              <w:rPr>
                <w:color w:val="auto"/>
                <w:vertAlign w:val="superscript"/>
              </w:rPr>
              <w:t>b</w:t>
            </w:r>
          </w:p>
        </w:tc>
      </w:tr>
      <w:tr w:rsidR="002D3C02" w:rsidRPr="00AF0CED" w14:paraId="13C75AE7" w14:textId="77777777" w:rsidTr="00573324">
        <w:tc>
          <w:tcPr>
            <w:tcW w:w="2410" w:type="dxa"/>
          </w:tcPr>
          <w:p w14:paraId="6E812DE1" w14:textId="77777777" w:rsidR="002D3C02" w:rsidRPr="00AF0CED" w:rsidRDefault="002D3C02" w:rsidP="00573324">
            <w:pPr>
              <w:spacing w:line="360" w:lineRule="auto"/>
              <w:jc w:val="both"/>
              <w:rPr>
                <w:b/>
                <w:bCs/>
                <w:color w:val="auto"/>
              </w:rPr>
            </w:pPr>
            <w:r w:rsidRPr="00AF0CED">
              <w:rPr>
                <w:bCs/>
                <w:color w:val="auto"/>
              </w:rPr>
              <w:t>Rosuvastatin (75mg/kg)</w:t>
            </w:r>
          </w:p>
        </w:tc>
        <w:tc>
          <w:tcPr>
            <w:tcW w:w="1843" w:type="dxa"/>
          </w:tcPr>
          <w:p w14:paraId="6CCA15E2" w14:textId="77777777" w:rsidR="002D3C02" w:rsidRPr="00AF0CED" w:rsidRDefault="002D3C02" w:rsidP="00573324">
            <w:pPr>
              <w:spacing w:line="360" w:lineRule="auto"/>
              <w:jc w:val="both"/>
              <w:rPr>
                <w:color w:val="auto"/>
                <w:vertAlign w:val="superscript"/>
              </w:rPr>
            </w:pPr>
            <w:r w:rsidRPr="00AF0CED">
              <w:rPr>
                <w:color w:val="auto"/>
              </w:rPr>
              <w:t>6.4</w:t>
            </w:r>
            <w:r>
              <w:rPr>
                <w:color w:val="auto"/>
              </w:rPr>
              <w:t>5</w:t>
            </w:r>
            <w:r w:rsidRPr="00AF0CED">
              <w:rPr>
                <w:color w:val="auto"/>
              </w:rPr>
              <w:t xml:space="preserve"> ± 0.20</w:t>
            </w:r>
            <w:r w:rsidRPr="00AF0CED">
              <w:rPr>
                <w:color w:val="auto"/>
                <w:vertAlign w:val="superscript"/>
              </w:rPr>
              <w:t>a</w:t>
            </w:r>
          </w:p>
        </w:tc>
        <w:tc>
          <w:tcPr>
            <w:tcW w:w="1701" w:type="dxa"/>
          </w:tcPr>
          <w:p w14:paraId="1FB676C4" w14:textId="77777777" w:rsidR="002D3C02" w:rsidRPr="00AF0CED" w:rsidRDefault="002D3C02" w:rsidP="00573324">
            <w:pPr>
              <w:spacing w:line="360" w:lineRule="auto"/>
              <w:jc w:val="both"/>
              <w:rPr>
                <w:color w:val="auto"/>
                <w:vertAlign w:val="superscript"/>
              </w:rPr>
            </w:pPr>
            <w:r w:rsidRPr="00AF0CED">
              <w:rPr>
                <w:color w:val="auto"/>
              </w:rPr>
              <w:t>3.04± 1.3</w:t>
            </w:r>
            <w:r>
              <w:rPr>
                <w:color w:val="auto"/>
              </w:rPr>
              <w:t>3</w:t>
            </w:r>
            <w:r w:rsidRPr="00AF0CED">
              <w:rPr>
                <w:color w:val="auto"/>
                <w:vertAlign w:val="superscript"/>
              </w:rPr>
              <w:t>b</w:t>
            </w:r>
          </w:p>
        </w:tc>
        <w:tc>
          <w:tcPr>
            <w:tcW w:w="1701" w:type="dxa"/>
          </w:tcPr>
          <w:p w14:paraId="35F6F3D4" w14:textId="77777777" w:rsidR="002D3C02" w:rsidRPr="00AF0CED" w:rsidRDefault="002D3C02" w:rsidP="00573324">
            <w:pPr>
              <w:spacing w:line="360" w:lineRule="auto"/>
              <w:jc w:val="both"/>
              <w:rPr>
                <w:color w:val="auto"/>
                <w:vertAlign w:val="superscript"/>
              </w:rPr>
            </w:pPr>
            <w:r w:rsidRPr="00AF0CED">
              <w:rPr>
                <w:color w:val="auto"/>
              </w:rPr>
              <w:t>2.0</w:t>
            </w:r>
            <w:r>
              <w:rPr>
                <w:color w:val="auto"/>
              </w:rPr>
              <w:t>4</w:t>
            </w:r>
            <w:r w:rsidRPr="00AF0CED">
              <w:rPr>
                <w:color w:val="auto"/>
              </w:rPr>
              <w:t xml:space="preserve"> ± 0.2</w:t>
            </w:r>
            <w:r>
              <w:rPr>
                <w:color w:val="auto"/>
              </w:rPr>
              <w:t>7</w:t>
            </w:r>
            <w:r w:rsidRPr="00AF0CED">
              <w:rPr>
                <w:color w:val="auto"/>
                <w:vertAlign w:val="superscript"/>
              </w:rPr>
              <w:t>c</w:t>
            </w:r>
          </w:p>
        </w:tc>
        <w:tc>
          <w:tcPr>
            <w:tcW w:w="1695" w:type="dxa"/>
          </w:tcPr>
          <w:p w14:paraId="5DF4CF73" w14:textId="77777777" w:rsidR="002D3C02" w:rsidRPr="00AF0CED" w:rsidRDefault="002D3C02" w:rsidP="00573324">
            <w:pPr>
              <w:spacing w:line="360" w:lineRule="auto"/>
              <w:jc w:val="both"/>
              <w:rPr>
                <w:color w:val="auto"/>
                <w:vertAlign w:val="superscript"/>
              </w:rPr>
            </w:pPr>
            <w:r w:rsidRPr="00AF0CED">
              <w:rPr>
                <w:color w:val="auto"/>
              </w:rPr>
              <w:t>5.</w:t>
            </w:r>
            <w:r>
              <w:rPr>
                <w:color w:val="auto"/>
              </w:rPr>
              <w:t>80</w:t>
            </w:r>
            <w:r w:rsidRPr="00AF0CED">
              <w:rPr>
                <w:color w:val="auto"/>
              </w:rPr>
              <w:t xml:space="preserve"> ± 0.</w:t>
            </w:r>
            <w:r>
              <w:rPr>
                <w:color w:val="auto"/>
              </w:rPr>
              <w:t>60</w:t>
            </w:r>
            <w:r w:rsidRPr="00AF0CED">
              <w:rPr>
                <w:color w:val="auto"/>
                <w:vertAlign w:val="superscript"/>
              </w:rPr>
              <w:t>a</w:t>
            </w:r>
          </w:p>
        </w:tc>
      </w:tr>
      <w:tr w:rsidR="002D3C02" w:rsidRPr="00AF0CED" w14:paraId="7726A582" w14:textId="77777777" w:rsidTr="00573324">
        <w:trPr>
          <w:trHeight w:val="784"/>
        </w:trPr>
        <w:tc>
          <w:tcPr>
            <w:tcW w:w="2410" w:type="dxa"/>
          </w:tcPr>
          <w:p w14:paraId="61F70783" w14:textId="77777777" w:rsidR="002D3C02" w:rsidRPr="00AF0CED" w:rsidRDefault="002D3C02" w:rsidP="00573324">
            <w:pPr>
              <w:spacing w:line="360" w:lineRule="auto"/>
              <w:jc w:val="both"/>
              <w:rPr>
                <w:b/>
                <w:bCs/>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(150 mg/kg)</w:t>
            </w:r>
          </w:p>
        </w:tc>
        <w:tc>
          <w:tcPr>
            <w:tcW w:w="1843" w:type="dxa"/>
          </w:tcPr>
          <w:p w14:paraId="5CE82440" w14:textId="77777777" w:rsidR="002D3C02" w:rsidRPr="00AF0CED" w:rsidRDefault="002D3C02" w:rsidP="00573324">
            <w:pPr>
              <w:spacing w:line="360" w:lineRule="auto"/>
              <w:jc w:val="both"/>
              <w:rPr>
                <w:color w:val="auto"/>
                <w:vertAlign w:val="superscript"/>
              </w:rPr>
            </w:pPr>
            <w:r w:rsidRPr="00AF0CED">
              <w:rPr>
                <w:color w:val="auto"/>
              </w:rPr>
              <w:t>6.5</w:t>
            </w:r>
            <w:r>
              <w:rPr>
                <w:color w:val="auto"/>
              </w:rPr>
              <w:t>5</w:t>
            </w:r>
            <w:r w:rsidRPr="00AF0CED">
              <w:rPr>
                <w:color w:val="auto"/>
              </w:rPr>
              <w:t xml:space="preserve"> ± 0.10</w:t>
            </w:r>
            <w:r w:rsidRPr="00AF0CED">
              <w:rPr>
                <w:color w:val="auto"/>
                <w:vertAlign w:val="superscript"/>
              </w:rPr>
              <w:t>a</w:t>
            </w:r>
          </w:p>
        </w:tc>
        <w:tc>
          <w:tcPr>
            <w:tcW w:w="1701" w:type="dxa"/>
          </w:tcPr>
          <w:p w14:paraId="50C38829" w14:textId="77777777" w:rsidR="002D3C02" w:rsidRPr="00AF0CED" w:rsidRDefault="002D3C02" w:rsidP="00573324">
            <w:pPr>
              <w:spacing w:line="360" w:lineRule="auto"/>
              <w:jc w:val="both"/>
              <w:rPr>
                <w:color w:val="auto"/>
                <w:vertAlign w:val="superscript"/>
              </w:rPr>
            </w:pPr>
            <w:r w:rsidRPr="00AF0CED">
              <w:rPr>
                <w:color w:val="auto"/>
              </w:rPr>
              <w:t>6.26 ± 0.1</w:t>
            </w:r>
            <w:r>
              <w:rPr>
                <w:color w:val="auto"/>
              </w:rPr>
              <w:t>5</w:t>
            </w:r>
            <w:r w:rsidRPr="00AF0CED">
              <w:rPr>
                <w:color w:val="auto"/>
                <w:vertAlign w:val="superscript"/>
              </w:rPr>
              <w:t>a</w:t>
            </w:r>
          </w:p>
        </w:tc>
        <w:tc>
          <w:tcPr>
            <w:tcW w:w="1701" w:type="dxa"/>
          </w:tcPr>
          <w:p w14:paraId="784B6FB9" w14:textId="77777777" w:rsidR="002D3C02" w:rsidRPr="00AF0CED" w:rsidRDefault="002D3C02" w:rsidP="00573324">
            <w:pPr>
              <w:spacing w:line="360" w:lineRule="auto"/>
              <w:jc w:val="both"/>
              <w:rPr>
                <w:color w:val="auto"/>
                <w:vertAlign w:val="superscript"/>
              </w:rPr>
            </w:pPr>
            <w:r w:rsidRPr="00AF0CED">
              <w:rPr>
                <w:color w:val="auto"/>
              </w:rPr>
              <w:t>6.67± 4.4</w:t>
            </w:r>
            <w:r>
              <w:rPr>
                <w:color w:val="auto"/>
              </w:rPr>
              <w:t>5</w:t>
            </w:r>
            <w:r w:rsidRPr="00AF0CED">
              <w:rPr>
                <w:color w:val="auto"/>
                <w:vertAlign w:val="superscript"/>
              </w:rPr>
              <w:t>a</w:t>
            </w:r>
          </w:p>
        </w:tc>
        <w:tc>
          <w:tcPr>
            <w:tcW w:w="1695" w:type="dxa"/>
          </w:tcPr>
          <w:p w14:paraId="0109FC74" w14:textId="77777777" w:rsidR="002D3C02" w:rsidRPr="00AF0CED" w:rsidRDefault="002D3C02" w:rsidP="00573324">
            <w:pPr>
              <w:spacing w:line="360" w:lineRule="auto"/>
              <w:jc w:val="both"/>
              <w:rPr>
                <w:color w:val="auto"/>
                <w:vertAlign w:val="superscript"/>
              </w:rPr>
            </w:pPr>
            <w:r w:rsidRPr="00AF0CED">
              <w:rPr>
                <w:color w:val="auto"/>
              </w:rPr>
              <w:t>2.11 ± 0.0</w:t>
            </w:r>
            <w:r>
              <w:rPr>
                <w:color w:val="auto"/>
              </w:rPr>
              <w:t>2</w:t>
            </w:r>
            <w:r w:rsidRPr="00AF0CED">
              <w:rPr>
                <w:color w:val="auto"/>
                <w:vertAlign w:val="superscript"/>
              </w:rPr>
              <w:t>b</w:t>
            </w:r>
          </w:p>
        </w:tc>
      </w:tr>
      <w:tr w:rsidR="002D3C02" w:rsidRPr="00AF0CED" w14:paraId="6A849B76" w14:textId="77777777" w:rsidTr="00573324">
        <w:tc>
          <w:tcPr>
            <w:tcW w:w="2410" w:type="dxa"/>
          </w:tcPr>
          <w:p w14:paraId="20A87559" w14:textId="77777777" w:rsidR="002D3C02" w:rsidRPr="00AF0CED" w:rsidRDefault="002D3C02" w:rsidP="00573324">
            <w:pPr>
              <w:spacing w:line="360" w:lineRule="auto"/>
              <w:jc w:val="both"/>
              <w:rPr>
                <w:b/>
                <w:bCs/>
                <w:color w:val="auto"/>
              </w:rPr>
            </w:pPr>
            <w:proofErr w:type="spellStart"/>
            <w:r w:rsidRPr="00AF0CED">
              <w:rPr>
                <w:bCs/>
                <w:color w:val="auto"/>
              </w:rPr>
              <w:t>Ocimum</w:t>
            </w:r>
            <w:proofErr w:type="spellEnd"/>
            <w:r w:rsidRPr="00AF0CED">
              <w:rPr>
                <w:bCs/>
                <w:color w:val="auto"/>
              </w:rPr>
              <w:t xml:space="preserve"> </w:t>
            </w:r>
            <w:proofErr w:type="spellStart"/>
            <w:r w:rsidRPr="00AF0CED">
              <w:rPr>
                <w:bCs/>
                <w:color w:val="auto"/>
              </w:rPr>
              <w:t>gratissimum</w:t>
            </w:r>
            <w:proofErr w:type="spellEnd"/>
            <w:r w:rsidRPr="00AF0CED">
              <w:rPr>
                <w:bCs/>
                <w:color w:val="auto"/>
              </w:rPr>
              <w:t xml:space="preserve"> (300 mg/kg)</w:t>
            </w:r>
          </w:p>
        </w:tc>
        <w:tc>
          <w:tcPr>
            <w:tcW w:w="1843" w:type="dxa"/>
          </w:tcPr>
          <w:p w14:paraId="79AAA5C7" w14:textId="77777777" w:rsidR="002D3C02" w:rsidRPr="00AF0CED" w:rsidRDefault="002D3C02" w:rsidP="00573324">
            <w:pPr>
              <w:spacing w:line="360" w:lineRule="auto"/>
              <w:jc w:val="both"/>
              <w:rPr>
                <w:color w:val="auto"/>
                <w:vertAlign w:val="superscript"/>
              </w:rPr>
            </w:pPr>
            <w:r w:rsidRPr="00AF0CED">
              <w:rPr>
                <w:color w:val="auto"/>
              </w:rPr>
              <w:t>6.4</w:t>
            </w:r>
            <w:r>
              <w:rPr>
                <w:color w:val="auto"/>
              </w:rPr>
              <w:t>5</w:t>
            </w:r>
            <w:r w:rsidRPr="00AF0CED">
              <w:rPr>
                <w:color w:val="auto"/>
              </w:rPr>
              <w:t xml:space="preserve"> ± 0.20</w:t>
            </w:r>
            <w:r w:rsidRPr="00AF0CED">
              <w:rPr>
                <w:color w:val="auto"/>
                <w:vertAlign w:val="superscript"/>
              </w:rPr>
              <w:t>a</w:t>
            </w:r>
          </w:p>
        </w:tc>
        <w:tc>
          <w:tcPr>
            <w:tcW w:w="1701" w:type="dxa"/>
          </w:tcPr>
          <w:p w14:paraId="22A6CA51" w14:textId="77777777" w:rsidR="002D3C02" w:rsidRPr="00AF0CED" w:rsidRDefault="002D3C02" w:rsidP="00573324">
            <w:pPr>
              <w:spacing w:line="360" w:lineRule="auto"/>
              <w:jc w:val="both"/>
              <w:rPr>
                <w:color w:val="auto"/>
                <w:vertAlign w:val="superscript"/>
              </w:rPr>
            </w:pPr>
            <w:r w:rsidRPr="00AF0CED">
              <w:rPr>
                <w:color w:val="auto"/>
              </w:rPr>
              <w:t>1.4</w:t>
            </w:r>
            <w:r>
              <w:rPr>
                <w:color w:val="auto"/>
              </w:rPr>
              <w:t>1</w:t>
            </w:r>
            <w:r w:rsidRPr="00AF0CED">
              <w:rPr>
                <w:color w:val="auto"/>
              </w:rPr>
              <w:t xml:space="preserve"> ± 0.0</w:t>
            </w:r>
            <w:r>
              <w:rPr>
                <w:color w:val="auto"/>
              </w:rPr>
              <w:t>4</w:t>
            </w:r>
            <w:r w:rsidRPr="00AF0CED">
              <w:rPr>
                <w:color w:val="auto"/>
                <w:vertAlign w:val="superscript"/>
              </w:rPr>
              <w:t>b</w:t>
            </w:r>
          </w:p>
        </w:tc>
        <w:tc>
          <w:tcPr>
            <w:tcW w:w="1701" w:type="dxa"/>
          </w:tcPr>
          <w:p w14:paraId="73AC4530" w14:textId="77777777" w:rsidR="002D3C02" w:rsidRPr="00AF0CED" w:rsidRDefault="002D3C02" w:rsidP="00573324">
            <w:pPr>
              <w:spacing w:line="360" w:lineRule="auto"/>
              <w:jc w:val="both"/>
              <w:rPr>
                <w:color w:val="auto"/>
                <w:vertAlign w:val="superscript"/>
              </w:rPr>
            </w:pPr>
            <w:r w:rsidRPr="00AF0CED">
              <w:rPr>
                <w:color w:val="auto"/>
              </w:rPr>
              <w:t>3.0</w:t>
            </w:r>
            <w:r>
              <w:rPr>
                <w:color w:val="auto"/>
              </w:rPr>
              <w:t>8</w:t>
            </w:r>
            <w:r w:rsidRPr="00AF0CED">
              <w:rPr>
                <w:color w:val="auto"/>
              </w:rPr>
              <w:t xml:space="preserve"> ± 2.0</w:t>
            </w:r>
            <w:r>
              <w:rPr>
                <w:color w:val="auto"/>
              </w:rPr>
              <w:t>4</w:t>
            </w:r>
            <w:r w:rsidRPr="00AF0CED">
              <w:rPr>
                <w:color w:val="auto"/>
                <w:vertAlign w:val="superscript"/>
              </w:rPr>
              <w:t>b</w:t>
            </w:r>
          </w:p>
        </w:tc>
        <w:tc>
          <w:tcPr>
            <w:tcW w:w="1695" w:type="dxa"/>
          </w:tcPr>
          <w:p w14:paraId="32E73262" w14:textId="77777777" w:rsidR="002D3C02" w:rsidRPr="00AF0CED" w:rsidRDefault="002D3C02" w:rsidP="00573324">
            <w:pPr>
              <w:spacing w:line="360" w:lineRule="auto"/>
              <w:jc w:val="both"/>
              <w:rPr>
                <w:color w:val="auto"/>
                <w:vertAlign w:val="superscript"/>
              </w:rPr>
            </w:pPr>
            <w:r w:rsidRPr="00AF0CED">
              <w:rPr>
                <w:color w:val="auto"/>
              </w:rPr>
              <w:t>5.5</w:t>
            </w:r>
            <w:r>
              <w:rPr>
                <w:color w:val="auto"/>
              </w:rPr>
              <w:t>7</w:t>
            </w:r>
            <w:r w:rsidRPr="00AF0CED">
              <w:rPr>
                <w:color w:val="auto"/>
              </w:rPr>
              <w:t xml:space="preserve"> ± 0.06</w:t>
            </w:r>
            <w:r w:rsidRPr="00AF0CED">
              <w:rPr>
                <w:color w:val="auto"/>
                <w:vertAlign w:val="superscript"/>
              </w:rPr>
              <w:t>a</w:t>
            </w:r>
          </w:p>
        </w:tc>
      </w:tr>
      <w:tr w:rsidR="002D3C02" w:rsidRPr="00AF0CED" w14:paraId="53A57D22" w14:textId="77777777" w:rsidTr="00573324">
        <w:tc>
          <w:tcPr>
            <w:tcW w:w="2410" w:type="dxa"/>
          </w:tcPr>
          <w:p w14:paraId="7C4CF11B" w14:textId="77777777" w:rsidR="002D3C02" w:rsidRPr="00AF0CED" w:rsidRDefault="002D3C02" w:rsidP="00573324">
            <w:pPr>
              <w:spacing w:line="360" w:lineRule="auto"/>
              <w:jc w:val="both"/>
              <w:rPr>
                <w:b/>
                <w:bCs/>
                <w:color w:val="auto"/>
              </w:rPr>
            </w:pPr>
            <w:r w:rsidRPr="00AF0CED">
              <w:rPr>
                <w:bCs/>
                <w:color w:val="auto"/>
              </w:rPr>
              <w:t>Vigna subterranea (150 mg/kg)</w:t>
            </w:r>
          </w:p>
        </w:tc>
        <w:tc>
          <w:tcPr>
            <w:tcW w:w="1843" w:type="dxa"/>
          </w:tcPr>
          <w:p w14:paraId="2ECA8096" w14:textId="77777777" w:rsidR="002D3C02" w:rsidRPr="00AF0CED" w:rsidRDefault="002D3C02" w:rsidP="00573324">
            <w:pPr>
              <w:spacing w:after="160" w:line="360" w:lineRule="auto"/>
              <w:jc w:val="both"/>
              <w:rPr>
                <w:bCs/>
                <w:color w:val="auto"/>
                <w:vertAlign w:val="superscript"/>
                <w:lang w:val="en-GB"/>
              </w:rPr>
            </w:pPr>
            <w:r w:rsidRPr="00AF0CED">
              <w:rPr>
                <w:bCs/>
                <w:color w:val="auto"/>
                <w:lang w:val="en-GB"/>
              </w:rPr>
              <w:t>6.17 ± 0.0</w:t>
            </w:r>
            <w:r>
              <w:rPr>
                <w:bCs/>
                <w:color w:val="auto"/>
                <w:lang w:val="en-GB"/>
              </w:rPr>
              <w:t>8</w:t>
            </w:r>
            <w:r w:rsidRPr="00AF0CED">
              <w:rPr>
                <w:bCs/>
                <w:color w:val="auto"/>
                <w:vertAlign w:val="superscript"/>
                <w:lang w:val="en-GB"/>
              </w:rPr>
              <w:t>a</w:t>
            </w:r>
          </w:p>
        </w:tc>
        <w:tc>
          <w:tcPr>
            <w:tcW w:w="1701" w:type="dxa"/>
          </w:tcPr>
          <w:p w14:paraId="29B3C400" w14:textId="77777777" w:rsidR="002D3C02" w:rsidRPr="00AF0CED" w:rsidRDefault="002D3C02" w:rsidP="00573324">
            <w:pPr>
              <w:spacing w:after="160" w:line="360" w:lineRule="auto"/>
              <w:jc w:val="both"/>
              <w:rPr>
                <w:bCs/>
                <w:color w:val="auto"/>
                <w:vertAlign w:val="superscript"/>
                <w:lang w:val="en-GB"/>
              </w:rPr>
            </w:pPr>
            <w:r w:rsidRPr="00AF0CED">
              <w:rPr>
                <w:bCs/>
                <w:color w:val="auto"/>
                <w:lang w:val="en-GB"/>
              </w:rPr>
              <w:t>5.49 ± 0.1</w:t>
            </w:r>
            <w:r>
              <w:rPr>
                <w:bCs/>
                <w:color w:val="auto"/>
                <w:lang w:val="en-GB"/>
              </w:rPr>
              <w:t>2</w:t>
            </w:r>
            <w:r w:rsidRPr="00AF0CED">
              <w:rPr>
                <w:bCs/>
                <w:color w:val="auto"/>
                <w:vertAlign w:val="superscript"/>
                <w:lang w:val="en-GB"/>
              </w:rPr>
              <w:t>b</w:t>
            </w:r>
          </w:p>
        </w:tc>
        <w:tc>
          <w:tcPr>
            <w:tcW w:w="1701" w:type="dxa"/>
          </w:tcPr>
          <w:p w14:paraId="7072EEBE" w14:textId="77777777" w:rsidR="002D3C02" w:rsidRPr="00AF0CED" w:rsidRDefault="002D3C02" w:rsidP="00573324">
            <w:pPr>
              <w:spacing w:after="160" w:line="360" w:lineRule="auto"/>
              <w:jc w:val="both"/>
              <w:rPr>
                <w:bCs/>
                <w:color w:val="auto"/>
                <w:vertAlign w:val="superscript"/>
                <w:lang w:val="en-GB"/>
              </w:rPr>
            </w:pPr>
            <w:r w:rsidRPr="00AF0CED">
              <w:rPr>
                <w:bCs/>
                <w:color w:val="auto"/>
                <w:lang w:val="en-GB"/>
              </w:rPr>
              <w:t>2.24 ± 0.00</w:t>
            </w:r>
            <w:r w:rsidRPr="00AF0CED">
              <w:rPr>
                <w:bCs/>
                <w:color w:val="auto"/>
                <w:vertAlign w:val="superscript"/>
                <w:lang w:val="en-GB"/>
              </w:rPr>
              <w:t>c</w:t>
            </w:r>
          </w:p>
        </w:tc>
        <w:tc>
          <w:tcPr>
            <w:tcW w:w="1695" w:type="dxa"/>
          </w:tcPr>
          <w:p w14:paraId="043DD874" w14:textId="77777777" w:rsidR="002D3C02" w:rsidRPr="00AF0CED" w:rsidRDefault="002D3C02" w:rsidP="00573324">
            <w:pPr>
              <w:spacing w:after="160" w:line="360" w:lineRule="auto"/>
              <w:jc w:val="both"/>
              <w:rPr>
                <w:bCs/>
                <w:color w:val="auto"/>
                <w:vertAlign w:val="superscript"/>
                <w:lang w:val="en-GB"/>
              </w:rPr>
            </w:pPr>
            <w:r w:rsidRPr="00AF0CED">
              <w:rPr>
                <w:bCs/>
                <w:color w:val="auto"/>
                <w:lang w:val="en-GB"/>
              </w:rPr>
              <w:t>5.02 ± 0.5</w:t>
            </w:r>
            <w:r>
              <w:rPr>
                <w:bCs/>
                <w:color w:val="auto"/>
                <w:lang w:val="en-GB"/>
              </w:rPr>
              <w:t>5</w:t>
            </w:r>
            <w:r w:rsidRPr="00AF0CED">
              <w:rPr>
                <w:bCs/>
                <w:color w:val="auto"/>
                <w:vertAlign w:val="superscript"/>
                <w:lang w:val="en-GB"/>
              </w:rPr>
              <w:t>c</w:t>
            </w:r>
          </w:p>
        </w:tc>
      </w:tr>
      <w:tr w:rsidR="002D3C02" w:rsidRPr="00AF0CED" w14:paraId="0F4F1AB3" w14:textId="77777777" w:rsidTr="00573324">
        <w:tc>
          <w:tcPr>
            <w:tcW w:w="2410" w:type="dxa"/>
          </w:tcPr>
          <w:p w14:paraId="0EBE5486" w14:textId="77777777" w:rsidR="002D3C02" w:rsidRPr="00AF0CED" w:rsidRDefault="002D3C02" w:rsidP="00573324">
            <w:pPr>
              <w:spacing w:line="360" w:lineRule="auto"/>
              <w:jc w:val="both"/>
              <w:rPr>
                <w:b/>
                <w:bCs/>
                <w:color w:val="auto"/>
              </w:rPr>
            </w:pPr>
            <w:r w:rsidRPr="00AF0CED">
              <w:rPr>
                <w:bCs/>
                <w:color w:val="auto"/>
              </w:rPr>
              <w:t>Vigna subterranea (300 mg/kg)</w:t>
            </w:r>
          </w:p>
        </w:tc>
        <w:tc>
          <w:tcPr>
            <w:tcW w:w="1843" w:type="dxa"/>
          </w:tcPr>
          <w:p w14:paraId="36BD63FC" w14:textId="77777777" w:rsidR="002D3C02" w:rsidRPr="00AF0CED" w:rsidRDefault="002D3C02" w:rsidP="00573324">
            <w:pPr>
              <w:spacing w:line="360" w:lineRule="auto"/>
              <w:jc w:val="both"/>
              <w:rPr>
                <w:b/>
                <w:bCs/>
                <w:color w:val="auto"/>
              </w:rPr>
            </w:pPr>
            <w:r w:rsidRPr="00AF0CED">
              <w:rPr>
                <w:bCs/>
                <w:color w:val="auto"/>
                <w:lang w:val="en-GB"/>
              </w:rPr>
              <w:t>6.3</w:t>
            </w:r>
            <w:r>
              <w:rPr>
                <w:bCs/>
                <w:color w:val="auto"/>
                <w:lang w:val="en-GB"/>
              </w:rPr>
              <w:t>2</w:t>
            </w:r>
            <w:r w:rsidRPr="00AF0CED">
              <w:rPr>
                <w:bCs/>
                <w:color w:val="auto"/>
                <w:lang w:val="en-GB"/>
              </w:rPr>
              <w:t xml:space="preserve"> ± 0.1</w:t>
            </w:r>
            <w:r>
              <w:rPr>
                <w:bCs/>
                <w:color w:val="auto"/>
                <w:lang w:val="en-GB"/>
              </w:rPr>
              <w:t>9</w:t>
            </w:r>
            <w:r w:rsidRPr="00AF0CED">
              <w:rPr>
                <w:bCs/>
                <w:color w:val="auto"/>
                <w:vertAlign w:val="superscript"/>
                <w:lang w:val="en-GB"/>
              </w:rPr>
              <w:t>a</w:t>
            </w:r>
          </w:p>
        </w:tc>
        <w:tc>
          <w:tcPr>
            <w:tcW w:w="1701" w:type="dxa"/>
          </w:tcPr>
          <w:p w14:paraId="1AB18314" w14:textId="77777777" w:rsidR="002D3C02" w:rsidRPr="00AF0CED" w:rsidRDefault="002D3C02" w:rsidP="00573324">
            <w:pPr>
              <w:spacing w:line="360" w:lineRule="auto"/>
              <w:jc w:val="both"/>
              <w:rPr>
                <w:b/>
                <w:bCs/>
                <w:color w:val="auto"/>
              </w:rPr>
            </w:pPr>
            <w:r w:rsidRPr="00AF0CED">
              <w:rPr>
                <w:bCs/>
                <w:color w:val="auto"/>
                <w:lang w:val="en-GB"/>
              </w:rPr>
              <w:t>5.60 ± 0.0</w:t>
            </w:r>
            <w:r>
              <w:rPr>
                <w:bCs/>
                <w:color w:val="auto"/>
                <w:lang w:val="en-GB"/>
              </w:rPr>
              <w:t>6</w:t>
            </w:r>
            <w:r w:rsidRPr="00AF0CED">
              <w:rPr>
                <w:bCs/>
                <w:color w:val="auto"/>
                <w:vertAlign w:val="superscript"/>
                <w:lang w:val="en-GB"/>
              </w:rPr>
              <w:t>b</w:t>
            </w:r>
          </w:p>
        </w:tc>
        <w:tc>
          <w:tcPr>
            <w:tcW w:w="1701" w:type="dxa"/>
          </w:tcPr>
          <w:p w14:paraId="26FE6983" w14:textId="77777777" w:rsidR="002D3C02" w:rsidRPr="00AF0CED" w:rsidRDefault="002D3C02" w:rsidP="00573324">
            <w:pPr>
              <w:spacing w:line="360" w:lineRule="auto"/>
              <w:jc w:val="both"/>
              <w:rPr>
                <w:b/>
                <w:bCs/>
                <w:color w:val="auto"/>
              </w:rPr>
            </w:pPr>
            <w:r w:rsidRPr="00AF0CED">
              <w:rPr>
                <w:bCs/>
                <w:color w:val="auto"/>
                <w:lang w:val="en-GB"/>
              </w:rPr>
              <w:t>13.95 ± 0.55</w:t>
            </w:r>
            <w:r w:rsidRPr="00AF0CED">
              <w:rPr>
                <w:bCs/>
                <w:color w:val="auto"/>
                <w:vertAlign w:val="superscript"/>
                <w:lang w:val="en-GB"/>
              </w:rPr>
              <w:t>a</w:t>
            </w:r>
          </w:p>
        </w:tc>
        <w:tc>
          <w:tcPr>
            <w:tcW w:w="1695" w:type="dxa"/>
          </w:tcPr>
          <w:p w14:paraId="092298DD" w14:textId="77777777" w:rsidR="002D3C02" w:rsidRPr="00AF0CED" w:rsidRDefault="002D3C02" w:rsidP="00573324">
            <w:pPr>
              <w:spacing w:line="360" w:lineRule="auto"/>
              <w:jc w:val="both"/>
              <w:rPr>
                <w:b/>
                <w:bCs/>
                <w:color w:val="auto"/>
              </w:rPr>
            </w:pPr>
            <w:r w:rsidRPr="00AF0CED">
              <w:rPr>
                <w:bCs/>
                <w:color w:val="auto"/>
                <w:lang w:val="en-GB"/>
              </w:rPr>
              <w:t>7.</w:t>
            </w:r>
            <w:r>
              <w:rPr>
                <w:bCs/>
                <w:color w:val="auto"/>
                <w:lang w:val="en-GB"/>
              </w:rPr>
              <w:t>40</w:t>
            </w:r>
            <w:r w:rsidRPr="00AF0CED">
              <w:rPr>
                <w:bCs/>
                <w:color w:val="auto"/>
                <w:lang w:val="en-GB"/>
              </w:rPr>
              <w:t xml:space="preserve"> ± 0.30</w:t>
            </w:r>
            <w:r w:rsidRPr="00AF0CED">
              <w:rPr>
                <w:bCs/>
                <w:color w:val="auto"/>
                <w:vertAlign w:val="superscript"/>
                <w:lang w:val="en-GB"/>
              </w:rPr>
              <w:t>a</w:t>
            </w:r>
          </w:p>
        </w:tc>
      </w:tr>
    </w:tbl>
    <w:p w14:paraId="68BFF248" w14:textId="77777777" w:rsidR="002D3C02" w:rsidRPr="00AF0CED" w:rsidRDefault="002D3C02" w:rsidP="002D3C02">
      <w:pPr>
        <w:spacing w:line="360" w:lineRule="auto"/>
        <w:jc w:val="both"/>
      </w:pPr>
      <w:r w:rsidRPr="00AF0CED">
        <w:t>Values are expressed as means ± SEM. Means sharing common letter(s) in the same column are not significantly different (p &lt; 0.05).</w:t>
      </w:r>
    </w:p>
    <w:p w14:paraId="4E0C39EA" w14:textId="77777777" w:rsidR="002D3C02" w:rsidRPr="00AF0CED" w:rsidRDefault="002D3C02" w:rsidP="002D3C02">
      <w:pPr>
        <w:spacing w:line="360" w:lineRule="auto"/>
        <w:jc w:val="both"/>
      </w:pPr>
    </w:p>
    <w:p w14:paraId="46169E93" w14:textId="77777777" w:rsidR="002D3C02" w:rsidRPr="00AF0CED" w:rsidRDefault="002D3C02" w:rsidP="002D3C02">
      <w:pPr>
        <w:spacing w:line="360" w:lineRule="auto"/>
        <w:jc w:val="both"/>
      </w:pPr>
    </w:p>
    <w:p w14:paraId="6CCE472A" w14:textId="7C5A4B22" w:rsidR="002D3C02" w:rsidRPr="00AF0CED" w:rsidRDefault="002D3C02" w:rsidP="002D3C02">
      <w:pPr>
        <w:spacing w:line="360" w:lineRule="auto"/>
        <w:jc w:val="both"/>
        <w:rPr>
          <w:b/>
          <w:bCs/>
          <w:lang w:val="en-GB"/>
        </w:rPr>
      </w:pPr>
      <w:r w:rsidRPr="00AF0CED">
        <w:rPr>
          <w:b/>
          <w:bCs/>
          <w:lang w:val="en-GB"/>
        </w:rPr>
        <w:lastRenderedPageBreak/>
        <w:t>Table 6. Effect of n-butanol fraction of plants on total cholesterol levels (mmol/L) of rats</w:t>
      </w:r>
    </w:p>
    <w:tbl>
      <w:tblPr>
        <w:tblStyle w:val="PlainTable21"/>
        <w:tblW w:w="0" w:type="auto"/>
        <w:tblLook w:val="0620" w:firstRow="1" w:lastRow="0" w:firstColumn="0" w:lastColumn="0" w:noHBand="1" w:noVBand="1"/>
      </w:tblPr>
      <w:tblGrid>
        <w:gridCol w:w="2405"/>
        <w:gridCol w:w="1701"/>
        <w:gridCol w:w="1843"/>
        <w:gridCol w:w="1701"/>
        <w:gridCol w:w="1700"/>
      </w:tblGrid>
      <w:tr w:rsidR="002D3C02" w:rsidRPr="00AF0CED" w14:paraId="5C9C7483" w14:textId="77777777" w:rsidTr="00573324">
        <w:trPr>
          <w:cnfStyle w:val="100000000000" w:firstRow="1" w:lastRow="0" w:firstColumn="0" w:lastColumn="0" w:oddVBand="0" w:evenVBand="0" w:oddHBand="0" w:evenHBand="0" w:firstRowFirstColumn="0" w:firstRowLastColumn="0" w:lastRowFirstColumn="0" w:lastRowLastColumn="0"/>
        </w:trPr>
        <w:tc>
          <w:tcPr>
            <w:tcW w:w="2405" w:type="dxa"/>
          </w:tcPr>
          <w:p w14:paraId="408D0753" w14:textId="77777777" w:rsidR="002D3C02" w:rsidRPr="00AF0CED" w:rsidRDefault="002D3C02" w:rsidP="00573324">
            <w:pPr>
              <w:spacing w:line="360" w:lineRule="auto"/>
              <w:jc w:val="both"/>
              <w:rPr>
                <w:b w:val="0"/>
                <w:bCs w:val="0"/>
              </w:rPr>
            </w:pPr>
            <w:r w:rsidRPr="00AF0CED">
              <w:t>Treatment</w:t>
            </w:r>
          </w:p>
        </w:tc>
        <w:tc>
          <w:tcPr>
            <w:tcW w:w="1701" w:type="dxa"/>
          </w:tcPr>
          <w:p w14:paraId="7D5ED8BC" w14:textId="77777777" w:rsidR="002D3C02" w:rsidRPr="00AF0CED" w:rsidRDefault="002D3C02" w:rsidP="00573324">
            <w:pPr>
              <w:spacing w:line="360" w:lineRule="auto"/>
              <w:jc w:val="both"/>
              <w:rPr>
                <w:b w:val="0"/>
                <w:bCs w:val="0"/>
              </w:rPr>
            </w:pPr>
            <w:r w:rsidRPr="00AF0CED">
              <w:t>0 h</w:t>
            </w:r>
          </w:p>
        </w:tc>
        <w:tc>
          <w:tcPr>
            <w:tcW w:w="1843" w:type="dxa"/>
          </w:tcPr>
          <w:p w14:paraId="3AAD9F7B" w14:textId="77777777" w:rsidR="002D3C02" w:rsidRPr="00AF0CED" w:rsidRDefault="002D3C02" w:rsidP="00573324">
            <w:pPr>
              <w:spacing w:line="360" w:lineRule="auto"/>
              <w:jc w:val="both"/>
              <w:rPr>
                <w:b w:val="0"/>
                <w:bCs w:val="0"/>
              </w:rPr>
            </w:pPr>
            <w:r w:rsidRPr="00AF0CED">
              <w:t>3 h</w:t>
            </w:r>
          </w:p>
        </w:tc>
        <w:tc>
          <w:tcPr>
            <w:tcW w:w="1701" w:type="dxa"/>
          </w:tcPr>
          <w:p w14:paraId="31CBFCD6" w14:textId="77777777" w:rsidR="002D3C02" w:rsidRPr="00AF0CED" w:rsidRDefault="002D3C02" w:rsidP="00573324">
            <w:pPr>
              <w:spacing w:line="360" w:lineRule="auto"/>
              <w:jc w:val="both"/>
              <w:rPr>
                <w:b w:val="0"/>
                <w:bCs w:val="0"/>
              </w:rPr>
            </w:pPr>
            <w:r w:rsidRPr="00AF0CED">
              <w:t>24 h</w:t>
            </w:r>
          </w:p>
        </w:tc>
        <w:tc>
          <w:tcPr>
            <w:tcW w:w="1700" w:type="dxa"/>
          </w:tcPr>
          <w:p w14:paraId="79AF7EB2" w14:textId="77777777" w:rsidR="002D3C02" w:rsidRPr="00AF0CED" w:rsidRDefault="002D3C02" w:rsidP="00573324">
            <w:pPr>
              <w:spacing w:line="360" w:lineRule="auto"/>
              <w:jc w:val="both"/>
              <w:rPr>
                <w:b w:val="0"/>
                <w:bCs w:val="0"/>
              </w:rPr>
            </w:pPr>
            <w:r w:rsidRPr="00AF0CED">
              <w:t>48 h</w:t>
            </w:r>
          </w:p>
        </w:tc>
      </w:tr>
      <w:tr w:rsidR="002D3C02" w:rsidRPr="00AF0CED" w14:paraId="25A5B815" w14:textId="77777777" w:rsidTr="00573324">
        <w:tc>
          <w:tcPr>
            <w:tcW w:w="2405" w:type="dxa"/>
          </w:tcPr>
          <w:p w14:paraId="792EBD8C" w14:textId="77777777" w:rsidR="002D3C02" w:rsidRPr="00AF0CED" w:rsidRDefault="002D3C02" w:rsidP="00573324">
            <w:pPr>
              <w:spacing w:line="360" w:lineRule="auto"/>
              <w:jc w:val="both"/>
              <w:rPr>
                <w:b/>
                <w:bCs/>
              </w:rPr>
            </w:pPr>
            <w:r w:rsidRPr="00AF0CED">
              <w:rPr>
                <w:bCs/>
              </w:rPr>
              <w:t>Normal Control</w:t>
            </w:r>
          </w:p>
        </w:tc>
        <w:tc>
          <w:tcPr>
            <w:tcW w:w="1701" w:type="dxa"/>
          </w:tcPr>
          <w:p w14:paraId="112A9CA6" w14:textId="77777777" w:rsidR="002D3C02" w:rsidRPr="00AF0CED" w:rsidRDefault="002D3C02" w:rsidP="00573324">
            <w:pPr>
              <w:spacing w:line="360" w:lineRule="auto"/>
              <w:jc w:val="both"/>
              <w:rPr>
                <w:vertAlign w:val="superscript"/>
              </w:rPr>
            </w:pPr>
            <w:r w:rsidRPr="00AF0CED">
              <w:t>2.60 ± 0.0</w:t>
            </w:r>
            <w:r>
              <w:t>1</w:t>
            </w:r>
            <w:r w:rsidRPr="00AF0CED">
              <w:rPr>
                <w:vertAlign w:val="superscript"/>
              </w:rPr>
              <w:t>a</w:t>
            </w:r>
          </w:p>
        </w:tc>
        <w:tc>
          <w:tcPr>
            <w:tcW w:w="1843" w:type="dxa"/>
          </w:tcPr>
          <w:p w14:paraId="2AC8384A" w14:textId="77777777" w:rsidR="002D3C02" w:rsidRPr="00AF0CED" w:rsidRDefault="002D3C02" w:rsidP="00573324">
            <w:pPr>
              <w:spacing w:line="360" w:lineRule="auto"/>
              <w:jc w:val="both"/>
              <w:rPr>
                <w:vertAlign w:val="superscript"/>
              </w:rPr>
            </w:pPr>
            <w:r w:rsidRPr="00AF0CED">
              <w:t>2.60 ± 0.0</w:t>
            </w:r>
            <w:r>
              <w:t>1</w:t>
            </w:r>
            <w:r w:rsidRPr="00AF0CED">
              <w:rPr>
                <w:vertAlign w:val="superscript"/>
              </w:rPr>
              <w:t>a</w:t>
            </w:r>
          </w:p>
        </w:tc>
        <w:tc>
          <w:tcPr>
            <w:tcW w:w="1701" w:type="dxa"/>
          </w:tcPr>
          <w:p w14:paraId="5E243A42" w14:textId="77777777" w:rsidR="002D3C02" w:rsidRPr="00AF0CED" w:rsidRDefault="002D3C02" w:rsidP="00573324">
            <w:pPr>
              <w:spacing w:line="360" w:lineRule="auto"/>
              <w:jc w:val="both"/>
              <w:rPr>
                <w:vertAlign w:val="superscript"/>
              </w:rPr>
            </w:pPr>
            <w:r w:rsidRPr="00AF0CED">
              <w:t>2.60 ± 0.0</w:t>
            </w:r>
            <w:r>
              <w:t>1</w:t>
            </w:r>
            <w:r w:rsidRPr="00AF0CED">
              <w:rPr>
                <w:vertAlign w:val="superscript"/>
              </w:rPr>
              <w:t>c</w:t>
            </w:r>
          </w:p>
        </w:tc>
        <w:tc>
          <w:tcPr>
            <w:tcW w:w="1700" w:type="dxa"/>
          </w:tcPr>
          <w:p w14:paraId="2EDBEBD7" w14:textId="77777777" w:rsidR="002D3C02" w:rsidRPr="00AF0CED" w:rsidRDefault="002D3C02" w:rsidP="00573324">
            <w:pPr>
              <w:spacing w:line="360" w:lineRule="auto"/>
              <w:jc w:val="both"/>
              <w:rPr>
                <w:vertAlign w:val="superscript"/>
              </w:rPr>
            </w:pPr>
            <w:r w:rsidRPr="00AF0CED">
              <w:t>2.62 ± 0.0</w:t>
            </w:r>
            <w:r>
              <w:t>1</w:t>
            </w:r>
            <w:r w:rsidRPr="00AF0CED">
              <w:rPr>
                <w:vertAlign w:val="superscript"/>
              </w:rPr>
              <w:t>c</w:t>
            </w:r>
          </w:p>
          <w:p w14:paraId="45F3663B" w14:textId="77777777" w:rsidR="002D3C02" w:rsidRPr="00AF0CED" w:rsidRDefault="002D3C02" w:rsidP="00573324">
            <w:pPr>
              <w:spacing w:line="360" w:lineRule="auto"/>
              <w:jc w:val="both"/>
              <w:rPr>
                <w:vertAlign w:val="superscript"/>
              </w:rPr>
            </w:pPr>
          </w:p>
        </w:tc>
      </w:tr>
      <w:tr w:rsidR="002D3C02" w:rsidRPr="00AF0CED" w14:paraId="04018742" w14:textId="77777777" w:rsidTr="00573324">
        <w:tc>
          <w:tcPr>
            <w:tcW w:w="2405" w:type="dxa"/>
          </w:tcPr>
          <w:p w14:paraId="6193BE84" w14:textId="77777777" w:rsidR="002D3C02" w:rsidRPr="00AF0CED" w:rsidRDefault="002D3C02" w:rsidP="00573324">
            <w:pPr>
              <w:spacing w:line="360" w:lineRule="auto"/>
              <w:jc w:val="both"/>
              <w:rPr>
                <w:b/>
                <w:bCs/>
              </w:rPr>
            </w:pPr>
            <w:r w:rsidRPr="00AF0CED">
              <w:rPr>
                <w:bCs/>
              </w:rPr>
              <w:t>Hyperlipidemic control</w:t>
            </w:r>
          </w:p>
        </w:tc>
        <w:tc>
          <w:tcPr>
            <w:tcW w:w="1701" w:type="dxa"/>
          </w:tcPr>
          <w:p w14:paraId="7C00B354" w14:textId="77777777" w:rsidR="002D3C02" w:rsidRPr="00AF0CED" w:rsidRDefault="002D3C02" w:rsidP="00573324">
            <w:pPr>
              <w:spacing w:line="360" w:lineRule="auto"/>
              <w:jc w:val="both"/>
              <w:rPr>
                <w:vertAlign w:val="superscript"/>
              </w:rPr>
            </w:pPr>
            <w:r w:rsidRPr="00AF0CED">
              <w:t>2.60 ± 0.0</w:t>
            </w:r>
            <w:r>
              <w:t>1</w:t>
            </w:r>
            <w:r w:rsidRPr="00AF0CED">
              <w:rPr>
                <w:vertAlign w:val="superscript"/>
              </w:rPr>
              <w:t>a</w:t>
            </w:r>
          </w:p>
        </w:tc>
        <w:tc>
          <w:tcPr>
            <w:tcW w:w="1843" w:type="dxa"/>
          </w:tcPr>
          <w:p w14:paraId="41EC9481" w14:textId="77777777" w:rsidR="002D3C02" w:rsidRPr="00AF0CED" w:rsidRDefault="002D3C02" w:rsidP="00573324">
            <w:pPr>
              <w:spacing w:line="360" w:lineRule="auto"/>
              <w:jc w:val="both"/>
              <w:rPr>
                <w:vertAlign w:val="superscript"/>
              </w:rPr>
            </w:pPr>
            <w:r w:rsidRPr="00AF0CED">
              <w:t>2.63 ± 0.0</w:t>
            </w:r>
            <w:r>
              <w:t>1</w:t>
            </w:r>
            <w:r w:rsidRPr="00AF0CED">
              <w:rPr>
                <w:vertAlign w:val="superscript"/>
              </w:rPr>
              <w:t>a</w:t>
            </w:r>
          </w:p>
        </w:tc>
        <w:tc>
          <w:tcPr>
            <w:tcW w:w="1701" w:type="dxa"/>
          </w:tcPr>
          <w:p w14:paraId="2C09DD6D" w14:textId="77777777" w:rsidR="002D3C02" w:rsidRPr="00AF0CED" w:rsidRDefault="002D3C02" w:rsidP="00573324">
            <w:pPr>
              <w:spacing w:line="360" w:lineRule="auto"/>
              <w:jc w:val="both"/>
              <w:rPr>
                <w:vertAlign w:val="superscript"/>
              </w:rPr>
            </w:pPr>
            <w:r w:rsidRPr="00AF0CED">
              <w:t>4.61 ± 0.2</w:t>
            </w:r>
            <w:r>
              <w:t>8</w:t>
            </w:r>
            <w:r w:rsidRPr="00AF0CED">
              <w:rPr>
                <w:vertAlign w:val="superscript"/>
              </w:rPr>
              <w:t>b</w:t>
            </w:r>
          </w:p>
        </w:tc>
        <w:tc>
          <w:tcPr>
            <w:tcW w:w="1700" w:type="dxa"/>
          </w:tcPr>
          <w:p w14:paraId="118059CB" w14:textId="77777777" w:rsidR="002D3C02" w:rsidRPr="00AF0CED" w:rsidRDefault="002D3C02" w:rsidP="00573324">
            <w:pPr>
              <w:spacing w:line="360" w:lineRule="auto"/>
              <w:jc w:val="both"/>
              <w:rPr>
                <w:vertAlign w:val="superscript"/>
              </w:rPr>
            </w:pPr>
            <w:r w:rsidRPr="00AF0CED">
              <w:t>6.61 ± 0.40</w:t>
            </w:r>
            <w:r w:rsidRPr="00AF0CED">
              <w:rPr>
                <w:vertAlign w:val="superscript"/>
              </w:rPr>
              <w:t>a</w:t>
            </w:r>
          </w:p>
        </w:tc>
      </w:tr>
      <w:tr w:rsidR="002D3C02" w:rsidRPr="00AF0CED" w14:paraId="2A99590C" w14:textId="77777777" w:rsidTr="00573324">
        <w:tc>
          <w:tcPr>
            <w:tcW w:w="2405" w:type="dxa"/>
          </w:tcPr>
          <w:p w14:paraId="49AE9F88" w14:textId="77777777" w:rsidR="002D3C02" w:rsidRPr="00AF0CED" w:rsidRDefault="002D3C02" w:rsidP="00573324">
            <w:pPr>
              <w:spacing w:line="360" w:lineRule="auto"/>
              <w:jc w:val="both"/>
              <w:rPr>
                <w:b/>
                <w:bCs/>
              </w:rPr>
            </w:pPr>
            <w:r w:rsidRPr="00AF0CED">
              <w:rPr>
                <w:bCs/>
              </w:rPr>
              <w:t>Rosuvastatin (75mg/kg)</w:t>
            </w:r>
          </w:p>
        </w:tc>
        <w:tc>
          <w:tcPr>
            <w:tcW w:w="1701" w:type="dxa"/>
          </w:tcPr>
          <w:p w14:paraId="4B2AF2DB" w14:textId="77777777" w:rsidR="002D3C02" w:rsidRPr="00AF0CED" w:rsidRDefault="002D3C02" w:rsidP="00573324">
            <w:pPr>
              <w:spacing w:line="360" w:lineRule="auto"/>
              <w:jc w:val="both"/>
              <w:rPr>
                <w:vertAlign w:val="superscript"/>
              </w:rPr>
            </w:pPr>
            <w:r w:rsidRPr="00AF0CED">
              <w:t>2.6</w:t>
            </w:r>
            <w:r>
              <w:t>2</w:t>
            </w:r>
            <w:r w:rsidRPr="00AF0CED">
              <w:t xml:space="preserve"> ± 0.01</w:t>
            </w:r>
            <w:r w:rsidRPr="00AF0CED">
              <w:rPr>
                <w:vertAlign w:val="superscript"/>
              </w:rPr>
              <w:t>a</w:t>
            </w:r>
          </w:p>
        </w:tc>
        <w:tc>
          <w:tcPr>
            <w:tcW w:w="1843" w:type="dxa"/>
          </w:tcPr>
          <w:p w14:paraId="49B39C37" w14:textId="77777777" w:rsidR="002D3C02" w:rsidRPr="00AF0CED" w:rsidRDefault="002D3C02" w:rsidP="00573324">
            <w:pPr>
              <w:spacing w:line="360" w:lineRule="auto"/>
              <w:jc w:val="both"/>
              <w:rPr>
                <w:vertAlign w:val="superscript"/>
              </w:rPr>
            </w:pPr>
            <w:r w:rsidRPr="00AF0CED">
              <w:t>2.63 ± 0.0</w:t>
            </w:r>
            <w:r>
              <w:t>1</w:t>
            </w:r>
            <w:r w:rsidRPr="00AF0CED">
              <w:rPr>
                <w:vertAlign w:val="superscript"/>
              </w:rPr>
              <w:t>a</w:t>
            </w:r>
          </w:p>
        </w:tc>
        <w:tc>
          <w:tcPr>
            <w:tcW w:w="1701" w:type="dxa"/>
          </w:tcPr>
          <w:p w14:paraId="0A7CCFF6" w14:textId="77777777" w:rsidR="002D3C02" w:rsidRPr="00AF0CED" w:rsidRDefault="002D3C02" w:rsidP="00573324">
            <w:pPr>
              <w:spacing w:line="360" w:lineRule="auto"/>
              <w:jc w:val="both"/>
              <w:rPr>
                <w:vertAlign w:val="superscript"/>
              </w:rPr>
            </w:pPr>
            <w:r w:rsidRPr="00AF0CED">
              <w:t>4.5</w:t>
            </w:r>
            <w:r>
              <w:t>9</w:t>
            </w:r>
            <w:r w:rsidRPr="00AF0CED">
              <w:t xml:space="preserve"> ± 0.10</w:t>
            </w:r>
            <w:r w:rsidRPr="00AF0CED">
              <w:rPr>
                <w:vertAlign w:val="superscript"/>
              </w:rPr>
              <w:t>c</w:t>
            </w:r>
          </w:p>
        </w:tc>
        <w:tc>
          <w:tcPr>
            <w:tcW w:w="1700" w:type="dxa"/>
          </w:tcPr>
          <w:p w14:paraId="7142CC02" w14:textId="77777777" w:rsidR="002D3C02" w:rsidRPr="00AF0CED" w:rsidRDefault="002D3C02" w:rsidP="00573324">
            <w:pPr>
              <w:spacing w:line="360" w:lineRule="auto"/>
              <w:jc w:val="both"/>
              <w:rPr>
                <w:vertAlign w:val="superscript"/>
              </w:rPr>
            </w:pPr>
            <w:r w:rsidRPr="00AF0CED">
              <w:t>2.6</w:t>
            </w:r>
            <w:r>
              <w:t>5</w:t>
            </w:r>
            <w:r w:rsidRPr="00AF0CED">
              <w:t xml:space="preserve"> ± 0.05</w:t>
            </w:r>
            <w:r w:rsidRPr="00AF0CED">
              <w:rPr>
                <w:vertAlign w:val="superscript"/>
              </w:rPr>
              <w:t>c</w:t>
            </w:r>
          </w:p>
        </w:tc>
      </w:tr>
      <w:tr w:rsidR="002D3C02" w:rsidRPr="00AF0CED" w14:paraId="00ECC9A7" w14:textId="77777777" w:rsidTr="00573324">
        <w:tc>
          <w:tcPr>
            <w:tcW w:w="2405" w:type="dxa"/>
          </w:tcPr>
          <w:p w14:paraId="57F9DFA0" w14:textId="77777777" w:rsidR="002D3C02" w:rsidRPr="00AF0CED" w:rsidRDefault="002D3C02" w:rsidP="00573324">
            <w:pPr>
              <w:spacing w:line="360" w:lineRule="auto"/>
              <w:jc w:val="both"/>
              <w:rPr>
                <w:b/>
                <w:bCs/>
              </w:rPr>
            </w:pPr>
            <w:proofErr w:type="spellStart"/>
            <w:r w:rsidRPr="00AF0CED">
              <w:rPr>
                <w:bCs/>
              </w:rPr>
              <w:t>Ocimum</w:t>
            </w:r>
            <w:proofErr w:type="spellEnd"/>
            <w:r w:rsidRPr="00AF0CED">
              <w:rPr>
                <w:bCs/>
              </w:rPr>
              <w:t xml:space="preserve"> </w:t>
            </w:r>
            <w:proofErr w:type="spellStart"/>
            <w:r w:rsidRPr="00AF0CED">
              <w:rPr>
                <w:bCs/>
              </w:rPr>
              <w:t>gratissimum</w:t>
            </w:r>
            <w:proofErr w:type="spellEnd"/>
            <w:r w:rsidRPr="00AF0CED">
              <w:rPr>
                <w:bCs/>
              </w:rPr>
              <w:t xml:space="preserve"> (150 mg/kg)</w:t>
            </w:r>
          </w:p>
        </w:tc>
        <w:tc>
          <w:tcPr>
            <w:tcW w:w="1701" w:type="dxa"/>
          </w:tcPr>
          <w:p w14:paraId="2804D4CB" w14:textId="77777777" w:rsidR="002D3C02" w:rsidRPr="00AF0CED" w:rsidRDefault="002D3C02" w:rsidP="00573324">
            <w:pPr>
              <w:spacing w:line="360" w:lineRule="auto"/>
              <w:jc w:val="both"/>
              <w:rPr>
                <w:vertAlign w:val="superscript"/>
              </w:rPr>
            </w:pPr>
            <w:r w:rsidRPr="00AF0CED">
              <w:t>2.5</w:t>
            </w:r>
            <w:r>
              <w:t>7</w:t>
            </w:r>
            <w:r w:rsidRPr="00AF0CED">
              <w:t xml:space="preserve"> ± 0.04</w:t>
            </w:r>
            <w:r w:rsidRPr="00AF0CED">
              <w:rPr>
                <w:vertAlign w:val="superscript"/>
              </w:rPr>
              <w:t>a</w:t>
            </w:r>
          </w:p>
        </w:tc>
        <w:tc>
          <w:tcPr>
            <w:tcW w:w="1843" w:type="dxa"/>
          </w:tcPr>
          <w:p w14:paraId="5C643727" w14:textId="77777777" w:rsidR="002D3C02" w:rsidRPr="00AF0CED" w:rsidRDefault="002D3C02" w:rsidP="00573324">
            <w:pPr>
              <w:spacing w:line="360" w:lineRule="auto"/>
              <w:jc w:val="both"/>
              <w:rPr>
                <w:vertAlign w:val="superscript"/>
              </w:rPr>
            </w:pPr>
            <w:r w:rsidRPr="00AF0CED">
              <w:t>2.</w:t>
            </w:r>
            <w:r>
              <w:t>60</w:t>
            </w:r>
            <w:r w:rsidRPr="00AF0CED">
              <w:t xml:space="preserve"> ± 0.02</w:t>
            </w:r>
            <w:r w:rsidRPr="00AF0CED">
              <w:rPr>
                <w:vertAlign w:val="superscript"/>
              </w:rPr>
              <w:t>a</w:t>
            </w:r>
          </w:p>
        </w:tc>
        <w:tc>
          <w:tcPr>
            <w:tcW w:w="1701" w:type="dxa"/>
          </w:tcPr>
          <w:p w14:paraId="0BA4B0FB" w14:textId="77777777" w:rsidR="002D3C02" w:rsidRPr="00AF0CED" w:rsidRDefault="002D3C02" w:rsidP="00573324">
            <w:pPr>
              <w:spacing w:line="360" w:lineRule="auto"/>
              <w:jc w:val="both"/>
              <w:rPr>
                <w:vertAlign w:val="superscript"/>
              </w:rPr>
            </w:pPr>
            <w:r w:rsidRPr="00AF0CED">
              <w:t>5.87 ± 0.1</w:t>
            </w:r>
            <w:r>
              <w:t>2</w:t>
            </w:r>
            <w:r w:rsidRPr="00AF0CED">
              <w:rPr>
                <w:vertAlign w:val="superscript"/>
              </w:rPr>
              <w:t>a</w:t>
            </w:r>
          </w:p>
        </w:tc>
        <w:tc>
          <w:tcPr>
            <w:tcW w:w="1700" w:type="dxa"/>
          </w:tcPr>
          <w:p w14:paraId="4826508B" w14:textId="77777777" w:rsidR="002D3C02" w:rsidRPr="00AF0CED" w:rsidRDefault="002D3C02" w:rsidP="00573324">
            <w:pPr>
              <w:spacing w:line="360" w:lineRule="auto"/>
              <w:jc w:val="both"/>
            </w:pPr>
            <w:r w:rsidRPr="00AF0CED">
              <w:t>5.4</w:t>
            </w:r>
            <w:r>
              <w:t>1</w:t>
            </w:r>
            <w:r w:rsidRPr="00AF0CED">
              <w:t xml:space="preserve"> ± 0.0</w:t>
            </w:r>
            <w:r>
              <w:t>5</w:t>
            </w:r>
            <w:r w:rsidRPr="00AF0CED">
              <w:rPr>
                <w:vertAlign w:val="superscript"/>
              </w:rPr>
              <w:t>b</w:t>
            </w:r>
          </w:p>
        </w:tc>
      </w:tr>
      <w:tr w:rsidR="002D3C02" w:rsidRPr="00AF0CED" w14:paraId="5BC4ED17" w14:textId="77777777" w:rsidTr="00573324">
        <w:tc>
          <w:tcPr>
            <w:tcW w:w="2405" w:type="dxa"/>
          </w:tcPr>
          <w:p w14:paraId="1700C763" w14:textId="77777777" w:rsidR="002D3C02" w:rsidRPr="00AF0CED" w:rsidRDefault="002D3C02" w:rsidP="00573324">
            <w:pPr>
              <w:spacing w:line="360" w:lineRule="auto"/>
              <w:jc w:val="both"/>
              <w:rPr>
                <w:b/>
                <w:bCs/>
              </w:rPr>
            </w:pPr>
            <w:proofErr w:type="spellStart"/>
            <w:r w:rsidRPr="00AF0CED">
              <w:rPr>
                <w:bCs/>
              </w:rPr>
              <w:t>Ocimum</w:t>
            </w:r>
            <w:proofErr w:type="spellEnd"/>
            <w:r w:rsidRPr="00AF0CED">
              <w:rPr>
                <w:bCs/>
              </w:rPr>
              <w:t xml:space="preserve"> </w:t>
            </w:r>
            <w:proofErr w:type="spellStart"/>
            <w:r w:rsidRPr="00AF0CED">
              <w:rPr>
                <w:bCs/>
              </w:rPr>
              <w:t>gratissimum</w:t>
            </w:r>
            <w:proofErr w:type="spellEnd"/>
            <w:r w:rsidRPr="00AF0CED">
              <w:rPr>
                <w:bCs/>
              </w:rPr>
              <w:t xml:space="preserve"> (300 mg/kg)</w:t>
            </w:r>
          </w:p>
        </w:tc>
        <w:tc>
          <w:tcPr>
            <w:tcW w:w="1701" w:type="dxa"/>
          </w:tcPr>
          <w:p w14:paraId="13EDF1E4" w14:textId="77777777" w:rsidR="002D3C02" w:rsidRPr="00AF0CED" w:rsidRDefault="002D3C02" w:rsidP="00573324">
            <w:pPr>
              <w:spacing w:line="360" w:lineRule="auto"/>
              <w:jc w:val="both"/>
              <w:rPr>
                <w:vertAlign w:val="superscript"/>
              </w:rPr>
            </w:pPr>
            <w:r w:rsidRPr="00AF0CED">
              <w:t>2.5</w:t>
            </w:r>
            <w:r>
              <w:t>8</w:t>
            </w:r>
            <w:r w:rsidRPr="00AF0CED">
              <w:t xml:space="preserve"> ± 0.05</w:t>
            </w:r>
            <w:r w:rsidRPr="00AF0CED">
              <w:rPr>
                <w:vertAlign w:val="superscript"/>
              </w:rPr>
              <w:t>a</w:t>
            </w:r>
          </w:p>
        </w:tc>
        <w:tc>
          <w:tcPr>
            <w:tcW w:w="1843" w:type="dxa"/>
          </w:tcPr>
          <w:p w14:paraId="2A657D67" w14:textId="77777777" w:rsidR="002D3C02" w:rsidRPr="00AF0CED" w:rsidRDefault="002D3C02" w:rsidP="00573324">
            <w:pPr>
              <w:spacing w:line="360" w:lineRule="auto"/>
              <w:jc w:val="both"/>
              <w:rPr>
                <w:vertAlign w:val="superscript"/>
              </w:rPr>
            </w:pPr>
            <w:r w:rsidRPr="00AF0CED">
              <w:t>2.57±0.02</w:t>
            </w:r>
            <w:r w:rsidRPr="00AF0CED">
              <w:rPr>
                <w:vertAlign w:val="superscript"/>
              </w:rPr>
              <w:t>a</w:t>
            </w:r>
          </w:p>
        </w:tc>
        <w:tc>
          <w:tcPr>
            <w:tcW w:w="1701" w:type="dxa"/>
          </w:tcPr>
          <w:p w14:paraId="128891C7" w14:textId="77777777" w:rsidR="002D3C02" w:rsidRPr="00AF0CED" w:rsidRDefault="002D3C02" w:rsidP="00573324">
            <w:pPr>
              <w:spacing w:line="360" w:lineRule="auto"/>
              <w:jc w:val="both"/>
              <w:rPr>
                <w:vertAlign w:val="superscript"/>
              </w:rPr>
            </w:pPr>
            <w:r w:rsidRPr="00AF0CED">
              <w:t>2.59 ± 0.1</w:t>
            </w:r>
            <w:r>
              <w:t>2</w:t>
            </w:r>
            <w:r w:rsidRPr="00AF0CED">
              <w:rPr>
                <w:vertAlign w:val="superscript"/>
              </w:rPr>
              <w:t>C</w:t>
            </w:r>
          </w:p>
        </w:tc>
        <w:tc>
          <w:tcPr>
            <w:tcW w:w="1700" w:type="dxa"/>
          </w:tcPr>
          <w:p w14:paraId="1C4D47B7" w14:textId="77777777" w:rsidR="002D3C02" w:rsidRPr="00AF0CED" w:rsidRDefault="002D3C02" w:rsidP="00573324">
            <w:pPr>
              <w:spacing w:line="360" w:lineRule="auto"/>
              <w:jc w:val="both"/>
              <w:rPr>
                <w:vertAlign w:val="superscript"/>
              </w:rPr>
            </w:pPr>
            <w:r w:rsidRPr="00AF0CED">
              <w:t>2.57 ± 0.0</w:t>
            </w:r>
            <w:r>
              <w:t>4</w:t>
            </w:r>
            <w:r w:rsidRPr="00AF0CED">
              <w:rPr>
                <w:vertAlign w:val="superscript"/>
              </w:rPr>
              <w:t>C</w:t>
            </w:r>
          </w:p>
        </w:tc>
      </w:tr>
      <w:tr w:rsidR="002D3C02" w:rsidRPr="00AF0CED" w14:paraId="698DA050" w14:textId="77777777" w:rsidTr="00573324">
        <w:tc>
          <w:tcPr>
            <w:tcW w:w="2405" w:type="dxa"/>
          </w:tcPr>
          <w:p w14:paraId="2CC876FE" w14:textId="77777777" w:rsidR="002D3C02" w:rsidRPr="00AF0CED" w:rsidRDefault="002D3C02" w:rsidP="00573324">
            <w:pPr>
              <w:spacing w:line="360" w:lineRule="auto"/>
              <w:jc w:val="both"/>
              <w:rPr>
                <w:b/>
                <w:bCs/>
              </w:rPr>
            </w:pPr>
            <w:r w:rsidRPr="00AF0CED">
              <w:rPr>
                <w:bCs/>
              </w:rPr>
              <w:t>Vigna subterranea (150 mg/kg)</w:t>
            </w:r>
          </w:p>
        </w:tc>
        <w:tc>
          <w:tcPr>
            <w:tcW w:w="1701" w:type="dxa"/>
          </w:tcPr>
          <w:p w14:paraId="2189B229" w14:textId="77777777" w:rsidR="002D3C02" w:rsidRPr="00AF0CED" w:rsidRDefault="002D3C02" w:rsidP="00573324">
            <w:pPr>
              <w:spacing w:line="360" w:lineRule="auto"/>
              <w:jc w:val="both"/>
              <w:rPr>
                <w:vertAlign w:val="superscript"/>
              </w:rPr>
            </w:pPr>
            <w:r w:rsidRPr="00AF0CED">
              <w:t>2.61 ± 0.01</w:t>
            </w:r>
            <w:r w:rsidRPr="00AF0CED">
              <w:rPr>
                <w:vertAlign w:val="superscript"/>
              </w:rPr>
              <w:t>a</w:t>
            </w:r>
          </w:p>
          <w:p w14:paraId="3A84981A" w14:textId="77777777" w:rsidR="002D3C02" w:rsidRPr="00AF0CED" w:rsidRDefault="002D3C02" w:rsidP="00573324">
            <w:pPr>
              <w:spacing w:line="360" w:lineRule="auto"/>
              <w:jc w:val="both"/>
              <w:rPr>
                <w:b/>
                <w:bCs/>
              </w:rPr>
            </w:pPr>
          </w:p>
        </w:tc>
        <w:tc>
          <w:tcPr>
            <w:tcW w:w="1843" w:type="dxa"/>
          </w:tcPr>
          <w:p w14:paraId="0BCBE2AF" w14:textId="77777777" w:rsidR="002D3C02" w:rsidRPr="00AF0CED" w:rsidRDefault="002D3C02" w:rsidP="00573324">
            <w:pPr>
              <w:spacing w:line="360" w:lineRule="auto"/>
              <w:jc w:val="both"/>
              <w:rPr>
                <w:vertAlign w:val="superscript"/>
              </w:rPr>
            </w:pPr>
            <w:r w:rsidRPr="00AF0CED">
              <w:t>2.6</w:t>
            </w:r>
            <w:r>
              <w:t>2</w:t>
            </w:r>
            <w:r w:rsidRPr="00AF0CED">
              <w:t xml:space="preserve"> ± 0.01</w:t>
            </w:r>
            <w:r w:rsidRPr="00AF0CED">
              <w:rPr>
                <w:vertAlign w:val="superscript"/>
              </w:rPr>
              <w:t>b</w:t>
            </w:r>
          </w:p>
          <w:p w14:paraId="27C400C2" w14:textId="77777777" w:rsidR="002D3C02" w:rsidRPr="00AF0CED" w:rsidRDefault="002D3C02" w:rsidP="00573324">
            <w:pPr>
              <w:tabs>
                <w:tab w:val="center" w:pos="827"/>
              </w:tabs>
              <w:spacing w:line="360" w:lineRule="auto"/>
              <w:jc w:val="both"/>
              <w:rPr>
                <w:b/>
                <w:bCs/>
              </w:rPr>
            </w:pPr>
            <w:r w:rsidRPr="00AF0CED">
              <w:rPr>
                <w:b/>
                <w:bCs/>
              </w:rPr>
              <w:tab/>
            </w:r>
          </w:p>
        </w:tc>
        <w:tc>
          <w:tcPr>
            <w:tcW w:w="1701" w:type="dxa"/>
          </w:tcPr>
          <w:p w14:paraId="255DDA43" w14:textId="77777777" w:rsidR="002D3C02" w:rsidRPr="00AF0CED" w:rsidRDefault="002D3C02" w:rsidP="00573324">
            <w:pPr>
              <w:spacing w:line="360" w:lineRule="auto"/>
              <w:jc w:val="both"/>
              <w:rPr>
                <w:vertAlign w:val="superscript"/>
              </w:rPr>
            </w:pPr>
            <w:r w:rsidRPr="00AF0CED">
              <w:t>5.740 ± 0.05</w:t>
            </w:r>
            <w:r w:rsidRPr="00AF0CED">
              <w:rPr>
                <w:vertAlign w:val="superscript"/>
              </w:rPr>
              <w:t>a</w:t>
            </w:r>
          </w:p>
          <w:p w14:paraId="1C8AF045" w14:textId="77777777" w:rsidR="002D3C02" w:rsidRPr="00AF0CED" w:rsidRDefault="002D3C02" w:rsidP="00573324">
            <w:pPr>
              <w:spacing w:line="360" w:lineRule="auto"/>
              <w:jc w:val="both"/>
              <w:rPr>
                <w:b/>
                <w:bCs/>
              </w:rPr>
            </w:pPr>
          </w:p>
        </w:tc>
        <w:tc>
          <w:tcPr>
            <w:tcW w:w="1700" w:type="dxa"/>
          </w:tcPr>
          <w:p w14:paraId="193035D3" w14:textId="77777777" w:rsidR="002D3C02" w:rsidRPr="00CB7834" w:rsidRDefault="002D3C02" w:rsidP="00573324">
            <w:pPr>
              <w:spacing w:line="360" w:lineRule="auto"/>
              <w:jc w:val="both"/>
              <w:rPr>
                <w:vertAlign w:val="superscript"/>
              </w:rPr>
            </w:pPr>
            <w:r w:rsidRPr="00AF0CED">
              <w:t>2.71 ± 0.01</w:t>
            </w:r>
            <w:r w:rsidRPr="00AF0CED">
              <w:rPr>
                <w:vertAlign w:val="superscript"/>
              </w:rPr>
              <w:t>b</w:t>
            </w:r>
          </w:p>
        </w:tc>
      </w:tr>
      <w:tr w:rsidR="002D3C02" w:rsidRPr="00AF0CED" w14:paraId="31287827" w14:textId="77777777" w:rsidTr="00573324">
        <w:tc>
          <w:tcPr>
            <w:tcW w:w="2405" w:type="dxa"/>
          </w:tcPr>
          <w:p w14:paraId="794C13E5" w14:textId="77777777" w:rsidR="002D3C02" w:rsidRPr="00AF0CED" w:rsidRDefault="002D3C02" w:rsidP="00573324">
            <w:pPr>
              <w:spacing w:line="360" w:lineRule="auto"/>
              <w:jc w:val="both"/>
              <w:rPr>
                <w:b/>
                <w:bCs/>
              </w:rPr>
            </w:pPr>
            <w:r w:rsidRPr="00AF0CED">
              <w:rPr>
                <w:bCs/>
              </w:rPr>
              <w:t>Vigna subterranea (300 mg/kg)</w:t>
            </w:r>
          </w:p>
        </w:tc>
        <w:tc>
          <w:tcPr>
            <w:tcW w:w="1701" w:type="dxa"/>
          </w:tcPr>
          <w:p w14:paraId="76A43B8A" w14:textId="77777777" w:rsidR="002D3C02" w:rsidRPr="00AF0CED" w:rsidRDefault="002D3C02" w:rsidP="00573324">
            <w:pPr>
              <w:spacing w:line="360" w:lineRule="auto"/>
              <w:jc w:val="both"/>
            </w:pPr>
            <w:r w:rsidRPr="00AF0CED">
              <w:t>2.6</w:t>
            </w:r>
            <w:r>
              <w:t>1</w:t>
            </w:r>
            <w:r w:rsidRPr="00AF0CED">
              <w:t xml:space="preserve"> ± 0.0</w:t>
            </w:r>
            <w:r>
              <w:t>1</w:t>
            </w:r>
            <w:r w:rsidRPr="00AF0CED">
              <w:rPr>
                <w:vertAlign w:val="superscript"/>
              </w:rPr>
              <w:t>a</w:t>
            </w:r>
            <w:r w:rsidRPr="00AF0CED">
              <w:t xml:space="preserve">     </w:t>
            </w:r>
          </w:p>
          <w:p w14:paraId="158D0702" w14:textId="77777777" w:rsidR="002D3C02" w:rsidRPr="00AF0CED" w:rsidRDefault="002D3C02" w:rsidP="00573324">
            <w:pPr>
              <w:spacing w:line="360" w:lineRule="auto"/>
              <w:jc w:val="both"/>
              <w:rPr>
                <w:b/>
                <w:bCs/>
              </w:rPr>
            </w:pPr>
          </w:p>
        </w:tc>
        <w:tc>
          <w:tcPr>
            <w:tcW w:w="1843" w:type="dxa"/>
          </w:tcPr>
          <w:p w14:paraId="5E52A487" w14:textId="77777777" w:rsidR="002D3C02" w:rsidRPr="00AF0CED" w:rsidRDefault="002D3C02" w:rsidP="00573324">
            <w:pPr>
              <w:spacing w:line="360" w:lineRule="auto"/>
              <w:jc w:val="both"/>
              <w:rPr>
                <w:b/>
                <w:bCs/>
              </w:rPr>
            </w:pPr>
            <w:r w:rsidRPr="00AF0CED">
              <w:t>2.63 ± 0.0</w:t>
            </w:r>
            <w:r>
              <w:t>1</w:t>
            </w:r>
            <w:r w:rsidRPr="00AF0CED">
              <w:rPr>
                <w:vertAlign w:val="superscript"/>
              </w:rPr>
              <w:t>a</w:t>
            </w:r>
          </w:p>
        </w:tc>
        <w:tc>
          <w:tcPr>
            <w:tcW w:w="1701" w:type="dxa"/>
          </w:tcPr>
          <w:p w14:paraId="237EAFDA" w14:textId="77777777" w:rsidR="002D3C02" w:rsidRPr="00AF0CED" w:rsidRDefault="002D3C02" w:rsidP="00573324">
            <w:pPr>
              <w:spacing w:line="360" w:lineRule="auto"/>
              <w:jc w:val="both"/>
              <w:rPr>
                <w:b/>
                <w:bCs/>
              </w:rPr>
            </w:pPr>
            <w:r w:rsidRPr="00AF0CED">
              <w:t>5.947 ± 0.19</w:t>
            </w:r>
            <w:r w:rsidRPr="00AF0CED">
              <w:rPr>
                <w:vertAlign w:val="superscript"/>
              </w:rPr>
              <w:t>a</w:t>
            </w:r>
          </w:p>
        </w:tc>
        <w:tc>
          <w:tcPr>
            <w:tcW w:w="1700" w:type="dxa"/>
          </w:tcPr>
          <w:p w14:paraId="4E2D0BBF" w14:textId="77777777" w:rsidR="002D3C02" w:rsidRPr="00AF0CED" w:rsidRDefault="002D3C02" w:rsidP="00573324">
            <w:pPr>
              <w:spacing w:line="360" w:lineRule="auto"/>
              <w:jc w:val="both"/>
              <w:rPr>
                <w:b/>
                <w:bCs/>
              </w:rPr>
            </w:pPr>
            <w:r w:rsidRPr="00AF0CED">
              <w:t>2.9</w:t>
            </w:r>
            <w:r>
              <w:t>6</w:t>
            </w:r>
            <w:r w:rsidRPr="00AF0CED">
              <w:t xml:space="preserve"> ± 0.09</w:t>
            </w:r>
            <w:r w:rsidRPr="00AF0CED">
              <w:rPr>
                <w:vertAlign w:val="superscript"/>
              </w:rPr>
              <w:t>b</w:t>
            </w:r>
          </w:p>
        </w:tc>
      </w:tr>
    </w:tbl>
    <w:p w14:paraId="78963ADE" w14:textId="77777777" w:rsidR="002D3C02" w:rsidRPr="00AF0CED" w:rsidRDefault="002D3C02" w:rsidP="002D3C02">
      <w:pPr>
        <w:spacing w:line="360" w:lineRule="auto"/>
        <w:jc w:val="both"/>
      </w:pPr>
      <w:r w:rsidRPr="00AF0CED">
        <w:t>Values are expressed as means ± SEM. Means sharing common letter(s) in the same column are not significantly different (p &lt; 0.05).</w:t>
      </w:r>
    </w:p>
    <w:p w14:paraId="365D5A86" w14:textId="77777777" w:rsidR="002D3C02" w:rsidRPr="00AF0CED" w:rsidRDefault="002D3C02" w:rsidP="002D3C02">
      <w:pPr>
        <w:spacing w:line="360" w:lineRule="auto"/>
        <w:jc w:val="both"/>
        <w:rPr>
          <w:b/>
          <w:bCs/>
          <w:lang w:val="en-GB"/>
        </w:rPr>
      </w:pPr>
    </w:p>
    <w:p w14:paraId="36669488" w14:textId="77777777" w:rsidR="002D3C02" w:rsidRPr="00AF0CED" w:rsidRDefault="002D3C02" w:rsidP="002D3C02">
      <w:pPr>
        <w:spacing w:line="360" w:lineRule="auto"/>
        <w:jc w:val="both"/>
      </w:pPr>
    </w:p>
    <w:p w14:paraId="185CF4AF" w14:textId="77777777" w:rsidR="002D3C02" w:rsidRPr="00AF0CED" w:rsidRDefault="002D3C02" w:rsidP="002D3C02">
      <w:pPr>
        <w:tabs>
          <w:tab w:val="left" w:pos="2191"/>
        </w:tabs>
        <w:spacing w:after="240" w:line="360" w:lineRule="auto"/>
        <w:jc w:val="both"/>
        <w:rPr>
          <w:b/>
          <w:bCs/>
        </w:rPr>
      </w:pPr>
      <w:r w:rsidRPr="00AF0CED">
        <w:rPr>
          <w:b/>
          <w:bCs/>
        </w:rPr>
        <w:t>4. Discussion</w:t>
      </w:r>
    </w:p>
    <w:p w14:paraId="412397CB" w14:textId="77777777" w:rsidR="002D3C02" w:rsidRPr="00AF0CED" w:rsidRDefault="002D3C02" w:rsidP="002D3C02">
      <w:pPr>
        <w:tabs>
          <w:tab w:val="left" w:pos="2191"/>
        </w:tabs>
        <w:spacing w:after="240" w:line="360" w:lineRule="auto"/>
        <w:jc w:val="both"/>
        <w:rPr>
          <w:bCs/>
        </w:rPr>
      </w:pPr>
      <w:r w:rsidRPr="00AF0CED">
        <w:rPr>
          <w:bCs/>
        </w:rPr>
        <w:t>4.1. Porcine pancreatic lipase inhibitory activity on plants</w:t>
      </w:r>
    </w:p>
    <w:p w14:paraId="0D8325C2" w14:textId="77777777" w:rsidR="002D3C02" w:rsidRPr="00241573" w:rsidRDefault="002D3C02" w:rsidP="002D3C02">
      <w:pPr>
        <w:pStyle w:val="NormalWeb"/>
        <w:shd w:val="clear" w:color="auto" w:fill="FFFFFF"/>
        <w:spacing w:before="0" w:beforeAutospacing="0" w:after="0" w:afterAutospacing="0" w:line="360" w:lineRule="auto"/>
        <w:jc w:val="both"/>
        <w:rPr>
          <w:shd w:val="clear" w:color="auto" w:fill="FFFFFF"/>
        </w:rPr>
      </w:pPr>
      <w:r w:rsidRPr="00AF0CED">
        <w:rPr>
          <w:shd w:val="clear" w:color="auto" w:fill="FFFFFF"/>
        </w:rPr>
        <w:t xml:space="preserve">The ethanolic plant extracts </w:t>
      </w:r>
      <w:r>
        <w:rPr>
          <w:shd w:val="clear" w:color="auto" w:fill="FFFFFF"/>
        </w:rPr>
        <w:t xml:space="preserve">of </w:t>
      </w:r>
      <w:proofErr w:type="spellStart"/>
      <w:r w:rsidRPr="00AF0CED">
        <w:rPr>
          <w:i/>
          <w:shd w:val="clear" w:color="auto" w:fill="FFFFFF"/>
        </w:rPr>
        <w:t>Ocimum</w:t>
      </w:r>
      <w:proofErr w:type="spellEnd"/>
      <w:r w:rsidRPr="00AF0CED">
        <w:rPr>
          <w:i/>
          <w:shd w:val="clear" w:color="auto" w:fill="FFFFFF"/>
        </w:rPr>
        <w:t xml:space="preserve"> </w:t>
      </w:r>
      <w:proofErr w:type="spellStart"/>
      <w:r w:rsidRPr="00AF0CED">
        <w:rPr>
          <w:i/>
          <w:shd w:val="clear" w:color="auto" w:fill="FFFFFF"/>
        </w:rPr>
        <w:t>gratissimum</w:t>
      </w:r>
      <w:proofErr w:type="spellEnd"/>
      <w:r w:rsidRPr="00AF0CED">
        <w:rPr>
          <w:shd w:val="clear" w:color="auto" w:fill="FFFFFF"/>
        </w:rPr>
        <w:t xml:space="preserve">, </w:t>
      </w:r>
      <w:r w:rsidRPr="00AF0CED">
        <w:rPr>
          <w:i/>
          <w:shd w:val="clear" w:color="auto" w:fill="FFFFFF"/>
        </w:rPr>
        <w:t xml:space="preserve">Brassica </w:t>
      </w:r>
      <w:proofErr w:type="spellStart"/>
      <w:r w:rsidRPr="00AF0CED">
        <w:rPr>
          <w:i/>
          <w:shd w:val="clear" w:color="auto" w:fill="FFFFFF"/>
        </w:rPr>
        <w:t>oleracae</w:t>
      </w:r>
      <w:proofErr w:type="spellEnd"/>
      <w:r w:rsidRPr="00AF0CED">
        <w:rPr>
          <w:i/>
          <w:shd w:val="clear" w:color="auto" w:fill="FFFFFF"/>
        </w:rPr>
        <w:t xml:space="preserve">, Vigna </w:t>
      </w:r>
      <w:proofErr w:type="spellStart"/>
      <w:r w:rsidRPr="00AF0CED">
        <w:rPr>
          <w:i/>
          <w:shd w:val="clear" w:color="auto" w:fill="FFFFFF"/>
        </w:rPr>
        <w:t>subterranea</w:t>
      </w:r>
      <w:proofErr w:type="spellEnd"/>
      <w:r w:rsidRPr="00AF0CED">
        <w:rPr>
          <w:shd w:val="clear" w:color="auto" w:fill="FFFFFF"/>
        </w:rPr>
        <w:t xml:space="preserve"> and </w:t>
      </w:r>
      <w:proofErr w:type="spellStart"/>
      <w:r w:rsidRPr="00AF0CED">
        <w:rPr>
          <w:i/>
          <w:shd w:val="clear" w:color="auto" w:fill="FFFFFF"/>
        </w:rPr>
        <w:t>Adasonia</w:t>
      </w:r>
      <w:proofErr w:type="spellEnd"/>
      <w:r w:rsidRPr="00AF0CED">
        <w:rPr>
          <w:i/>
          <w:shd w:val="clear" w:color="auto" w:fill="FFFFFF"/>
        </w:rPr>
        <w:t xml:space="preserve"> </w:t>
      </w:r>
      <w:proofErr w:type="spellStart"/>
      <w:r w:rsidRPr="00AF0CED">
        <w:rPr>
          <w:i/>
          <w:shd w:val="clear" w:color="auto" w:fill="FFFFFF"/>
        </w:rPr>
        <w:t>digitata</w:t>
      </w:r>
      <w:proofErr w:type="spellEnd"/>
      <w:r w:rsidRPr="00AF0CED">
        <w:rPr>
          <w:shd w:val="clear" w:color="auto" w:fill="FFFFFF"/>
        </w:rPr>
        <w:t xml:space="preserve"> displayed pancreatic lipase inhibitory activity and thus might possess the abilities to reduce fat absorption therefore possessing </w:t>
      </w:r>
      <w:proofErr w:type="spellStart"/>
      <w:r w:rsidRPr="00AF0CED">
        <w:rPr>
          <w:shd w:val="clear" w:color="auto" w:fill="FFFFFF"/>
        </w:rPr>
        <w:t>antiobesity</w:t>
      </w:r>
      <w:proofErr w:type="spellEnd"/>
      <w:r w:rsidRPr="00AF0CED">
        <w:rPr>
          <w:shd w:val="clear" w:color="auto" w:fill="FFFFFF"/>
        </w:rPr>
        <w:t xml:space="preserve"> properties as claimed by traditional medicine users. The n-butanol fraction of </w:t>
      </w:r>
      <w:r w:rsidRPr="00AF0CED">
        <w:rPr>
          <w:i/>
          <w:shd w:val="clear" w:color="auto" w:fill="FFFFFF"/>
        </w:rPr>
        <w:t xml:space="preserve">O. </w:t>
      </w:r>
      <w:proofErr w:type="spellStart"/>
      <w:r w:rsidRPr="00AF0CED">
        <w:rPr>
          <w:i/>
          <w:shd w:val="clear" w:color="auto" w:fill="FFFFFF"/>
        </w:rPr>
        <w:t>gratissimum</w:t>
      </w:r>
      <w:proofErr w:type="spellEnd"/>
      <w:r w:rsidRPr="00AF0CED">
        <w:rPr>
          <w:shd w:val="clear" w:color="auto" w:fill="FFFFFF"/>
        </w:rPr>
        <w:t xml:space="preserve"> and </w:t>
      </w:r>
      <w:r w:rsidRPr="00AF0CED">
        <w:rPr>
          <w:i/>
          <w:shd w:val="clear" w:color="auto" w:fill="FFFFFF"/>
        </w:rPr>
        <w:t xml:space="preserve">Vigna </w:t>
      </w:r>
      <w:proofErr w:type="spellStart"/>
      <w:r w:rsidRPr="00AF0CED">
        <w:rPr>
          <w:i/>
          <w:shd w:val="clear" w:color="auto" w:fill="FFFFFF"/>
        </w:rPr>
        <w:t>subterranea</w:t>
      </w:r>
      <w:proofErr w:type="spellEnd"/>
      <w:r w:rsidRPr="00AF0CED">
        <w:rPr>
          <w:i/>
          <w:shd w:val="clear" w:color="auto" w:fill="FFFFFF"/>
        </w:rPr>
        <w:t xml:space="preserve"> </w:t>
      </w:r>
      <w:r w:rsidRPr="00AF0CED">
        <w:rPr>
          <w:shd w:val="clear" w:color="auto" w:fill="FFFFFF"/>
        </w:rPr>
        <w:t>were also active against the pancreatic lipase enzyme.</w:t>
      </w:r>
    </w:p>
    <w:p w14:paraId="7B4C433D" w14:textId="77777777" w:rsidR="002D3C02" w:rsidRPr="00241573" w:rsidRDefault="002D3C02" w:rsidP="002D3C02">
      <w:pPr>
        <w:spacing w:line="360" w:lineRule="auto"/>
        <w:jc w:val="both"/>
      </w:pPr>
      <w:r>
        <w:t xml:space="preserve">Researchers have directed more of their attention towards the discovery of novel pancreatic lipase inhibitors with fewer side effects in an effort to find natural solutions for treating obesity. Through its ability to hydrolyze triacylglycerols into monoacylglycerols and fatty acids, pancreatic lipase </w:t>
      </w:r>
      <w:r>
        <w:lastRenderedPageBreak/>
        <w:t xml:space="preserve">plays a crucial role in the absorption of dietary triacylglycerols </w:t>
      </w:r>
      <w:r w:rsidRPr="00AF0CED">
        <w:t>(Miller and Lowe, 2008</w:t>
      </w:r>
      <w:r w:rsidRPr="00AF0CED">
        <w:rPr>
          <w:shd w:val="clear" w:color="auto" w:fill="F7F7F7"/>
        </w:rPr>
        <w:t>)</w:t>
      </w:r>
      <w:r w:rsidRPr="00AF0CED">
        <w:t xml:space="preserve">. </w:t>
      </w:r>
      <w:r>
        <w:t xml:space="preserve">It enters the duodenum through the pancreatic duct system and hydrolyzes between 50 and 70 percent of all ingested fats </w:t>
      </w:r>
      <w:r w:rsidRPr="00AF0CED">
        <w:t>(</w:t>
      </w:r>
      <w:proofErr w:type="spellStart"/>
      <w:r w:rsidRPr="00AF0CED">
        <w:t>Birari</w:t>
      </w:r>
      <w:proofErr w:type="spellEnd"/>
      <w:r w:rsidRPr="00AF0CED">
        <w:t xml:space="preserve"> and </w:t>
      </w:r>
      <w:proofErr w:type="spellStart"/>
      <w:r w:rsidRPr="00AF0CED">
        <w:t>Bhutani</w:t>
      </w:r>
      <w:proofErr w:type="spellEnd"/>
      <w:r w:rsidRPr="00AF0CED">
        <w:t>, 2007) which makes it an important target for weight reduction research. Lipase inhibition lowers fat absorption because it interferes with the breakdown of fat, which limits the amount of lipids that are used after ingestion (</w:t>
      </w:r>
      <w:proofErr w:type="spellStart"/>
      <w:r w:rsidRPr="00AF0CED">
        <w:t>Slanc</w:t>
      </w:r>
      <w:proofErr w:type="spellEnd"/>
      <w:r w:rsidRPr="00AF0CED">
        <w:t xml:space="preserve"> et al., 2009). The inhibition of pancreatic lipase by fractions and ethanolic extracts of plants has been well documented (</w:t>
      </w:r>
      <w:proofErr w:type="spellStart"/>
      <w:r w:rsidRPr="00AF0CED">
        <w:t>Seyedan</w:t>
      </w:r>
      <w:proofErr w:type="spellEnd"/>
      <w:r w:rsidRPr="00AF0CED">
        <w:t xml:space="preserve"> et al., 2015). </w:t>
      </w:r>
      <w:r w:rsidRPr="00AF0CED">
        <w:rPr>
          <w:shd w:val="clear" w:color="auto" w:fill="FFFFFF"/>
        </w:rPr>
        <w:t xml:space="preserve">The plant extracts of </w:t>
      </w:r>
      <w:proofErr w:type="spellStart"/>
      <w:r w:rsidRPr="00AF0CED">
        <w:rPr>
          <w:i/>
          <w:shd w:val="clear" w:color="auto" w:fill="FFFFFF"/>
        </w:rPr>
        <w:t>Ocimum</w:t>
      </w:r>
      <w:proofErr w:type="spellEnd"/>
      <w:r w:rsidRPr="00AF0CED">
        <w:rPr>
          <w:i/>
          <w:shd w:val="clear" w:color="auto" w:fill="FFFFFF"/>
        </w:rPr>
        <w:t xml:space="preserve"> </w:t>
      </w:r>
      <w:proofErr w:type="spellStart"/>
      <w:r w:rsidRPr="00AF0CED">
        <w:rPr>
          <w:i/>
          <w:shd w:val="clear" w:color="auto" w:fill="FFFFFF"/>
        </w:rPr>
        <w:t>gratissimum</w:t>
      </w:r>
      <w:proofErr w:type="spellEnd"/>
      <w:r w:rsidRPr="00AF0CED">
        <w:rPr>
          <w:shd w:val="clear" w:color="auto" w:fill="FFFFFF"/>
        </w:rPr>
        <w:t xml:space="preserve">, </w:t>
      </w:r>
      <w:r w:rsidRPr="00AF0CED">
        <w:rPr>
          <w:i/>
          <w:shd w:val="clear" w:color="auto" w:fill="FFFFFF"/>
        </w:rPr>
        <w:t xml:space="preserve">Brassica </w:t>
      </w:r>
      <w:proofErr w:type="spellStart"/>
      <w:r w:rsidRPr="00AF0CED">
        <w:rPr>
          <w:i/>
          <w:shd w:val="clear" w:color="auto" w:fill="FFFFFF"/>
        </w:rPr>
        <w:t>oleracae</w:t>
      </w:r>
      <w:proofErr w:type="spellEnd"/>
      <w:r w:rsidRPr="00AF0CED">
        <w:rPr>
          <w:shd w:val="clear" w:color="auto" w:fill="FFFFFF"/>
        </w:rPr>
        <w:t xml:space="preserve"> and </w:t>
      </w:r>
      <w:proofErr w:type="spellStart"/>
      <w:r w:rsidRPr="00AF0CED">
        <w:rPr>
          <w:i/>
          <w:shd w:val="clear" w:color="auto" w:fill="FFFFFF"/>
        </w:rPr>
        <w:t>Adasonia</w:t>
      </w:r>
      <w:proofErr w:type="spellEnd"/>
      <w:r w:rsidRPr="00AF0CED">
        <w:rPr>
          <w:i/>
          <w:shd w:val="clear" w:color="auto" w:fill="FFFFFF"/>
        </w:rPr>
        <w:t xml:space="preserve"> </w:t>
      </w:r>
      <w:proofErr w:type="spellStart"/>
      <w:r w:rsidRPr="00AF0CED">
        <w:rPr>
          <w:i/>
          <w:shd w:val="clear" w:color="auto" w:fill="FFFFFF"/>
        </w:rPr>
        <w:t>digitata</w:t>
      </w:r>
      <w:proofErr w:type="spellEnd"/>
      <w:r w:rsidRPr="00AF0CED">
        <w:rPr>
          <w:shd w:val="clear" w:color="auto" w:fill="FFFFFF"/>
        </w:rPr>
        <w:t xml:space="preserve"> as well as the n-butanol fraction of </w:t>
      </w:r>
      <w:r w:rsidRPr="00AF0CED">
        <w:rPr>
          <w:i/>
          <w:shd w:val="clear" w:color="auto" w:fill="FFFFFF"/>
        </w:rPr>
        <w:t xml:space="preserve">O. </w:t>
      </w:r>
      <w:proofErr w:type="spellStart"/>
      <w:r w:rsidRPr="00AF0CED">
        <w:rPr>
          <w:i/>
          <w:shd w:val="clear" w:color="auto" w:fill="FFFFFF"/>
        </w:rPr>
        <w:t>gratissimum</w:t>
      </w:r>
      <w:proofErr w:type="spellEnd"/>
      <w:r w:rsidRPr="00AF0CED">
        <w:rPr>
          <w:shd w:val="clear" w:color="auto" w:fill="FFFFFF"/>
        </w:rPr>
        <w:t xml:space="preserve"> and </w:t>
      </w:r>
      <w:r w:rsidRPr="00AF0CED">
        <w:rPr>
          <w:i/>
          <w:shd w:val="clear" w:color="auto" w:fill="FFFFFF"/>
        </w:rPr>
        <w:t xml:space="preserve">Vigna </w:t>
      </w:r>
      <w:proofErr w:type="spellStart"/>
      <w:r w:rsidRPr="00AF0CED">
        <w:rPr>
          <w:i/>
          <w:shd w:val="clear" w:color="auto" w:fill="FFFFFF"/>
        </w:rPr>
        <w:t>subterranea</w:t>
      </w:r>
      <w:proofErr w:type="spellEnd"/>
      <w:r w:rsidRPr="00AF0CED">
        <w:rPr>
          <w:shd w:val="clear" w:color="auto" w:fill="FFFFFF"/>
        </w:rPr>
        <w:t xml:space="preserve"> might be exerting this action by inhibiting the absorption of fatty acids and preventing the process that leads to its accumulation. This implies that the bioactive compounds responsible for exerting such effect are possibly </w:t>
      </w:r>
      <w:r>
        <w:rPr>
          <w:shd w:val="clear" w:color="auto" w:fill="FFFFFF"/>
        </w:rPr>
        <w:t>in high amounts</w:t>
      </w:r>
      <w:r w:rsidRPr="00AF0CED">
        <w:rPr>
          <w:shd w:val="clear" w:color="auto" w:fill="FFFFFF"/>
        </w:rPr>
        <w:t xml:space="preserve"> in these fractions. The bioactive compounds </w:t>
      </w:r>
      <w:r>
        <w:rPr>
          <w:shd w:val="clear" w:color="auto" w:fill="FFFFFF"/>
        </w:rPr>
        <w:t>may</w:t>
      </w:r>
      <w:r w:rsidRPr="00AF0CED">
        <w:rPr>
          <w:shd w:val="clear" w:color="auto" w:fill="FFFFFF"/>
        </w:rPr>
        <w:t xml:space="preserve"> include </w:t>
      </w:r>
      <w:r w:rsidRPr="00AF0CED">
        <w:t>polyphenols such as flavonoids</w:t>
      </w:r>
      <w:r>
        <w:t>,</w:t>
      </w:r>
      <w:r w:rsidRPr="00AF0CED">
        <w:t xml:space="preserve"> anthocyanins, terpenes and saponins which have been reported as pancreatic lipase inhibitors </w:t>
      </w:r>
      <w:r w:rsidRPr="00AF0CED">
        <w:rPr>
          <w:shd w:val="clear" w:color="auto" w:fill="FFFFFF"/>
        </w:rPr>
        <w:t>(Papoutsis et al., 2021)</w:t>
      </w:r>
      <w:r w:rsidRPr="00AF0CED">
        <w:t>.</w:t>
      </w:r>
    </w:p>
    <w:p w14:paraId="37BC6B1B" w14:textId="77777777" w:rsidR="002D3C02" w:rsidRPr="00AF0CED" w:rsidRDefault="002D3C02" w:rsidP="002D3C02">
      <w:pPr>
        <w:pStyle w:val="NormalWeb"/>
        <w:shd w:val="clear" w:color="auto" w:fill="FFFFFF"/>
        <w:spacing w:before="0" w:beforeAutospacing="0" w:after="0" w:afterAutospacing="0" w:line="360" w:lineRule="auto"/>
        <w:jc w:val="both"/>
        <w:rPr>
          <w:shd w:val="clear" w:color="auto" w:fill="FFFFFF"/>
        </w:rPr>
      </w:pPr>
    </w:p>
    <w:p w14:paraId="5265ACAB" w14:textId="77777777" w:rsidR="002D3C02" w:rsidRPr="00AF0CED" w:rsidRDefault="002D3C02" w:rsidP="002D3C02">
      <w:pPr>
        <w:pStyle w:val="NormalWeb"/>
        <w:shd w:val="clear" w:color="auto" w:fill="FFFFFF"/>
        <w:spacing w:before="0" w:beforeAutospacing="0" w:after="0" w:afterAutospacing="0" w:line="360" w:lineRule="auto"/>
        <w:jc w:val="both"/>
      </w:pPr>
      <w:r w:rsidRPr="00AF0CED">
        <w:t>4.2. Alpha amylase inhibitory activity on plants</w:t>
      </w:r>
    </w:p>
    <w:p w14:paraId="219E0F5D" w14:textId="77777777" w:rsidR="002D3C02" w:rsidRPr="00AF0CED" w:rsidRDefault="002D3C02" w:rsidP="002D3C02">
      <w:pPr>
        <w:spacing w:line="360" w:lineRule="auto"/>
        <w:jc w:val="both"/>
      </w:pPr>
      <w:r w:rsidRPr="00AF0CED">
        <w:rPr>
          <w:i/>
          <w:lang w:val="en-GB"/>
        </w:rPr>
        <w:t xml:space="preserve">L. </w:t>
      </w:r>
      <w:proofErr w:type="spellStart"/>
      <w:r w:rsidRPr="00AF0CED">
        <w:rPr>
          <w:i/>
          <w:lang w:val="en-GB"/>
        </w:rPr>
        <w:t>aegyptiacae</w:t>
      </w:r>
      <w:proofErr w:type="spellEnd"/>
      <w:r w:rsidRPr="00AF0CED">
        <w:rPr>
          <w:i/>
          <w:lang w:val="en-GB"/>
        </w:rPr>
        <w:t xml:space="preserve">, </w:t>
      </w:r>
      <w:r w:rsidRPr="00AF0CED">
        <w:rPr>
          <w:bCs/>
          <w:i/>
        </w:rPr>
        <w:t xml:space="preserve">Beta vulgaris, </w:t>
      </w:r>
      <w:proofErr w:type="spellStart"/>
      <w:r w:rsidRPr="00AF0CED">
        <w:rPr>
          <w:bCs/>
          <w:i/>
        </w:rPr>
        <w:t>Cynodon</w:t>
      </w:r>
      <w:proofErr w:type="spellEnd"/>
      <w:r w:rsidRPr="00AF0CED">
        <w:rPr>
          <w:bCs/>
          <w:i/>
        </w:rPr>
        <w:t xml:space="preserve"> </w:t>
      </w:r>
      <w:proofErr w:type="spellStart"/>
      <w:r w:rsidRPr="00AF0CED">
        <w:rPr>
          <w:bCs/>
          <w:i/>
        </w:rPr>
        <w:t>dactylon</w:t>
      </w:r>
      <w:proofErr w:type="spellEnd"/>
      <w:r w:rsidRPr="00AF0CED">
        <w:rPr>
          <w:bCs/>
          <w:i/>
        </w:rPr>
        <w:t>, and Vigna subterranea</w:t>
      </w:r>
      <w:r w:rsidRPr="00AF0CED">
        <w:rPr>
          <w:bCs/>
        </w:rPr>
        <w:t xml:space="preserve"> extracts inhibited the activity of alpha amylase </w:t>
      </w:r>
      <w:r w:rsidRPr="00AF0CED">
        <w:rPr>
          <w:bCs/>
          <w:i/>
        </w:rPr>
        <w:t>in vitro</w:t>
      </w:r>
      <w:r w:rsidRPr="00AF0CED">
        <w:rPr>
          <w:bCs/>
        </w:rPr>
        <w:t>.</w:t>
      </w:r>
      <w:r w:rsidRPr="00AF0CED">
        <w:t xml:space="preserve"> </w:t>
      </w:r>
      <w:r>
        <w:t xml:space="preserve">Alpha-amylase inhibitors are known to lessen post-meal glucose peaks by delaying the rate at which amylase breaks down starch into simple sugar until the body has a chance to react to it </w:t>
      </w:r>
      <w:r w:rsidRPr="00AF0CED">
        <w:t xml:space="preserve">(Ogunyemi et al., 2022). </w:t>
      </w:r>
      <w:r>
        <w:t>Lowering the blood sugar level after a meal stops the absorption of glucose into adipose tissue to suppress the production and build-up of triacylglycerol</w:t>
      </w:r>
      <w:r w:rsidRPr="00AF0CED">
        <w:t xml:space="preserve"> (</w:t>
      </w:r>
      <w:proofErr w:type="spellStart"/>
      <w:r w:rsidRPr="00AF0CED">
        <w:rPr>
          <w:shd w:val="clear" w:color="auto" w:fill="FFFFFF"/>
        </w:rPr>
        <w:t>Hiyoshi</w:t>
      </w:r>
      <w:proofErr w:type="spellEnd"/>
      <w:r w:rsidRPr="00AF0CED">
        <w:rPr>
          <w:shd w:val="clear" w:color="auto" w:fill="FFFFFF"/>
        </w:rPr>
        <w:t xml:space="preserve"> et al., 2017</w:t>
      </w:r>
      <w:r w:rsidRPr="00AF0CED">
        <w:t xml:space="preserve">). According to Bhandari et al. 2008, </w:t>
      </w:r>
      <w:r w:rsidRPr="00AF0CED">
        <w:rPr>
          <w:bCs/>
        </w:rPr>
        <w:t>many medicinal plant</w:t>
      </w:r>
      <w:r>
        <w:rPr>
          <w:bCs/>
        </w:rPr>
        <w:t>s</w:t>
      </w:r>
      <w:r w:rsidRPr="00AF0CED">
        <w:rPr>
          <w:bCs/>
        </w:rPr>
        <w:t xml:space="preserve"> crude extracts have α-amylase inhibitory activity whose claim has been validated by </w:t>
      </w:r>
      <w:r>
        <w:rPr>
          <w:bCs/>
        </w:rPr>
        <w:t>various</w:t>
      </w:r>
      <w:r w:rsidRPr="00AF0CED">
        <w:rPr>
          <w:bCs/>
        </w:rPr>
        <w:t xml:space="preserve"> studies (Wickramaratne et al., 2016; </w:t>
      </w:r>
      <w:proofErr w:type="spellStart"/>
      <w:r w:rsidRPr="00AF0CED">
        <w:rPr>
          <w:bCs/>
        </w:rPr>
        <w:t>Khadayat</w:t>
      </w:r>
      <w:proofErr w:type="spellEnd"/>
      <w:r w:rsidRPr="00AF0CED">
        <w:rPr>
          <w:bCs/>
        </w:rPr>
        <w:t xml:space="preserve"> et al., 2020; </w:t>
      </w:r>
      <w:proofErr w:type="spellStart"/>
      <w:r w:rsidRPr="00AF0CED">
        <w:rPr>
          <w:bCs/>
        </w:rPr>
        <w:t>Oyedemi</w:t>
      </w:r>
      <w:proofErr w:type="spellEnd"/>
      <w:r w:rsidRPr="00AF0CED">
        <w:rPr>
          <w:bCs/>
        </w:rPr>
        <w:t xml:space="preserve"> </w:t>
      </w:r>
      <w:proofErr w:type="spellStart"/>
      <w:r w:rsidRPr="00AF0CED">
        <w:rPr>
          <w:bCs/>
        </w:rPr>
        <w:t>etbal</w:t>
      </w:r>
      <w:proofErr w:type="spellEnd"/>
      <w:r w:rsidRPr="00AF0CED">
        <w:rPr>
          <w:bCs/>
        </w:rPr>
        <w:t xml:space="preserve">., 2017). Certain bioactive ingredients responsible for inhibitory activity against alpha amylase are contained in crude extracts as well as fractions of various plants (Anyanwu et al., 2021). </w:t>
      </w:r>
      <w:r>
        <w:rPr>
          <w:bCs/>
        </w:rPr>
        <w:t>Additionally</w:t>
      </w:r>
      <w:r w:rsidRPr="00AF0CED">
        <w:rPr>
          <w:bCs/>
        </w:rPr>
        <w:t>, inhibiti</w:t>
      </w:r>
      <w:r>
        <w:rPr>
          <w:bCs/>
        </w:rPr>
        <w:t>o</w:t>
      </w:r>
      <w:r w:rsidRPr="00AF0CED">
        <w:rPr>
          <w:bCs/>
        </w:rPr>
        <w:t xml:space="preserve">n </w:t>
      </w:r>
      <w:r>
        <w:rPr>
          <w:bCs/>
        </w:rPr>
        <w:t xml:space="preserve">of </w:t>
      </w:r>
      <w:r w:rsidRPr="00AF0CED">
        <w:rPr>
          <w:bCs/>
        </w:rPr>
        <w:t xml:space="preserve">α-amylase, a carbohydrate </w:t>
      </w:r>
      <w:proofErr w:type="spellStart"/>
      <w:r w:rsidRPr="00AF0CED">
        <w:rPr>
          <w:bCs/>
        </w:rPr>
        <w:t>hydrolysing</w:t>
      </w:r>
      <w:proofErr w:type="spellEnd"/>
      <w:r w:rsidRPr="00AF0CED">
        <w:rPr>
          <w:bCs/>
        </w:rPr>
        <w:t xml:space="preserve"> enzyme, is a valid mode of action for some obesity drugs (Jayaraj et al., 2013).</w:t>
      </w:r>
    </w:p>
    <w:p w14:paraId="47C02433" w14:textId="77777777" w:rsidR="002D3C02" w:rsidRPr="00AF0CED" w:rsidRDefault="002D3C02" w:rsidP="002D3C02">
      <w:pPr>
        <w:spacing w:line="360" w:lineRule="auto"/>
        <w:jc w:val="both"/>
        <w:rPr>
          <w:bCs/>
        </w:rPr>
      </w:pPr>
      <w:r w:rsidRPr="00AF0CED">
        <w:rPr>
          <w:bCs/>
        </w:rPr>
        <w:t>This indicates that alpha amylase</w:t>
      </w:r>
      <w:r>
        <w:rPr>
          <w:bCs/>
        </w:rPr>
        <w:t xml:space="preserve"> inhibition</w:t>
      </w:r>
      <w:r w:rsidRPr="00AF0CED">
        <w:rPr>
          <w:bCs/>
        </w:rPr>
        <w:t xml:space="preserve"> by the active plants possibly inhibits the </w:t>
      </w:r>
      <w:r>
        <w:rPr>
          <w:bCs/>
        </w:rPr>
        <w:t>breakdown</w:t>
      </w:r>
      <w:r w:rsidRPr="00AF0CED">
        <w:rPr>
          <w:bCs/>
        </w:rPr>
        <w:t xml:space="preserve"> of </w:t>
      </w:r>
      <w:r w:rsidRPr="00AF0CED">
        <w:rPr>
          <w:shd w:val="clear" w:color="auto" w:fill="FFFFFF"/>
        </w:rPr>
        <w:t xml:space="preserve">α-(1, 4)-glycosidic linkages </w:t>
      </w:r>
      <w:r>
        <w:rPr>
          <w:shd w:val="clear" w:color="auto" w:fill="FFFFFF"/>
        </w:rPr>
        <w:t xml:space="preserve">in the </w:t>
      </w:r>
      <w:r w:rsidRPr="00AF0CED">
        <w:rPr>
          <w:shd w:val="clear" w:color="auto" w:fill="FFFFFF"/>
        </w:rPr>
        <w:t>starch components and glycogen</w:t>
      </w:r>
      <w:r w:rsidRPr="00AF0CED">
        <w:rPr>
          <w:bCs/>
        </w:rPr>
        <w:t xml:space="preserve"> thereby reducing the absorption of dietary carbohydrate and as such, there are possible bioactive compounds contained in these plants that serve these purposes.</w:t>
      </w:r>
    </w:p>
    <w:p w14:paraId="313981F5" w14:textId="77777777" w:rsidR="002D3C02" w:rsidRPr="00AF0CED" w:rsidRDefault="002D3C02" w:rsidP="002D3C02">
      <w:pPr>
        <w:spacing w:line="360" w:lineRule="auto"/>
        <w:jc w:val="both"/>
        <w:rPr>
          <w:bCs/>
        </w:rPr>
      </w:pPr>
    </w:p>
    <w:p w14:paraId="063B6E26" w14:textId="77777777" w:rsidR="002D3C02" w:rsidRPr="00AF0CED" w:rsidRDefault="002D3C02" w:rsidP="002D3C02">
      <w:pPr>
        <w:pStyle w:val="NormalWeb"/>
        <w:shd w:val="clear" w:color="auto" w:fill="FFFFFF"/>
        <w:spacing w:before="0" w:beforeAutospacing="0" w:after="240" w:afterAutospacing="0" w:line="360" w:lineRule="auto"/>
        <w:jc w:val="both"/>
        <w:rPr>
          <w:b/>
        </w:rPr>
      </w:pPr>
      <w:r w:rsidRPr="00AF0CED">
        <w:rPr>
          <w:b/>
        </w:rPr>
        <w:t>4.3. Effect of plants fractions on hyperlipidemic rats</w:t>
      </w:r>
    </w:p>
    <w:p w14:paraId="30FD48A0" w14:textId="77777777" w:rsidR="002D3C02" w:rsidRPr="00AF0CED" w:rsidRDefault="002D3C02" w:rsidP="002D3C02">
      <w:pPr>
        <w:spacing w:line="360" w:lineRule="auto"/>
        <w:jc w:val="both"/>
      </w:pPr>
      <w:r>
        <w:t xml:space="preserve">Following induction with poloxamer 407 at a dose of 1g/kg, the rats developed a hyperlipidemic state due to the aberrant increases of lipids </w:t>
      </w:r>
      <w:r w:rsidRPr="00AF0CED">
        <w:t xml:space="preserve">(Wout et al., 1992; Wasan et al., 2003).  </w:t>
      </w:r>
      <w:r>
        <w:t xml:space="preserve">Following treatment with n-butanol fraction of </w:t>
      </w:r>
      <w:r w:rsidRPr="00241573">
        <w:rPr>
          <w:i/>
        </w:rPr>
        <w:t xml:space="preserve">O. </w:t>
      </w:r>
      <w:proofErr w:type="spellStart"/>
      <w:r w:rsidRPr="00241573">
        <w:rPr>
          <w:i/>
        </w:rPr>
        <w:t>gratissimum</w:t>
      </w:r>
      <w:proofErr w:type="spellEnd"/>
      <w:r>
        <w:t xml:space="preserve"> and </w:t>
      </w:r>
      <w:r w:rsidRPr="00241573">
        <w:rPr>
          <w:i/>
        </w:rPr>
        <w:t xml:space="preserve">V. </w:t>
      </w:r>
      <w:proofErr w:type="spellStart"/>
      <w:r w:rsidRPr="00241573">
        <w:rPr>
          <w:i/>
        </w:rPr>
        <w:t>subterrenea</w:t>
      </w:r>
      <w:proofErr w:type="spellEnd"/>
      <w:r>
        <w:t xml:space="preserve">, there was an increase in HDL-C but a decrease in TG, TC, and LDL-C levels. </w:t>
      </w:r>
    </w:p>
    <w:p w14:paraId="7FD7EB07" w14:textId="77777777" w:rsidR="002D3C02" w:rsidRPr="00AF0CED" w:rsidRDefault="002D3C02" w:rsidP="002D3C02">
      <w:pPr>
        <w:spacing w:line="360" w:lineRule="auto"/>
        <w:jc w:val="both"/>
      </w:pPr>
      <w:r>
        <w:t xml:space="preserve">Hyperlipidemia is a major risk factor for developing coronary heart diseases (CHDs), that results in atherosclerosis </w:t>
      </w:r>
      <w:r w:rsidRPr="00AF0CED">
        <w:t>(</w:t>
      </w:r>
      <w:r w:rsidRPr="00AF0CED">
        <w:rPr>
          <w:shd w:val="clear" w:color="auto" w:fill="FFFFFF"/>
        </w:rPr>
        <w:t>Linton et al., 2019)</w:t>
      </w:r>
      <w:r w:rsidRPr="00AF0CED">
        <w:t>. Elevated levels of LDL-</w:t>
      </w:r>
      <w:r>
        <w:t>C poses as a key</w:t>
      </w:r>
      <w:r w:rsidRPr="00AF0CED">
        <w:t xml:space="preserve"> risk factor for coronary heart disease and HDL-</w:t>
      </w:r>
      <w:r>
        <w:t>C</w:t>
      </w:r>
      <w:r w:rsidRPr="00AF0CED">
        <w:t xml:space="preserve"> acts as a cardio protective protein (Ali et al., 2012). That the plant fractions effectively lowered the levels of TG, TC and LDL indicates that it might have opposed the effect of poloxamer 407 by inhibiting the HMG-CoA reductase which induced high lipid levels in the rats by stimulating the activity of the same enzyme (Johnson and Palmer 1993; Palmer et al., 1997). Therefore, these plants might be effective in the aversion of coronary heart disease resulting from high lipid levels.</w:t>
      </w:r>
    </w:p>
    <w:p w14:paraId="196061A2" w14:textId="77777777" w:rsidR="002D3C02" w:rsidRPr="00AF0CED" w:rsidRDefault="002D3C02" w:rsidP="002D3C02">
      <w:pPr>
        <w:spacing w:line="360" w:lineRule="auto"/>
        <w:jc w:val="both"/>
      </w:pPr>
      <w:r>
        <w:t xml:space="preserve">Lecithin-cholesterol acetyl transferase, which is involved in the reverse cholesterol transport route and converts small pre-β HDL into bigger, spherically-shaped α-migrating forms of HDL, may be the cause of the significant rise in HDL-C (Rousset et al., 2011). HDL-C has anti-atherogenic properties evidenced by its inhibition of LDL-C oxidation and transport of CHOL from peripheral tissues, like artery walls, to the liver for hepatic metabolism, </w:t>
      </w:r>
      <w:r w:rsidRPr="00AF0CED">
        <w:t xml:space="preserve">(Choi </w:t>
      </w:r>
      <w:r w:rsidRPr="00AF0CED">
        <w:rPr>
          <w:i/>
        </w:rPr>
        <w:t>et al</w:t>
      </w:r>
      <w:r w:rsidRPr="00AF0CED">
        <w:t xml:space="preserve">., 1991; </w:t>
      </w:r>
      <w:proofErr w:type="spellStart"/>
      <w:r w:rsidRPr="00AF0CED">
        <w:rPr>
          <w:shd w:val="clear" w:color="auto" w:fill="FFFFFF"/>
        </w:rPr>
        <w:t>Kwiterovich</w:t>
      </w:r>
      <w:proofErr w:type="spellEnd"/>
      <w:r w:rsidRPr="00AF0CED">
        <w:rPr>
          <w:shd w:val="clear" w:color="auto" w:fill="FFFFFF"/>
        </w:rPr>
        <w:t xml:space="preserve"> 1998</w:t>
      </w:r>
      <w:r w:rsidRPr="00AF0CED">
        <w:t>).</w:t>
      </w:r>
    </w:p>
    <w:p w14:paraId="218E4185" w14:textId="77777777" w:rsidR="002D3C02" w:rsidRPr="00AF0CED" w:rsidRDefault="002D3C02" w:rsidP="002D3C02">
      <w:pPr>
        <w:pStyle w:val="p"/>
        <w:shd w:val="clear" w:color="auto" w:fill="FFFFFF"/>
        <w:spacing w:before="166" w:beforeAutospacing="0" w:after="166" w:afterAutospacing="0" w:line="360" w:lineRule="auto"/>
        <w:jc w:val="both"/>
        <w:rPr>
          <w:shd w:val="clear" w:color="auto" w:fill="FFFFFF"/>
        </w:rPr>
      </w:pPr>
      <w:r w:rsidRPr="00AF0CED">
        <w:t>A decrease in triglyceride levels could result from suppression of lipolysis, which prevents fatty acids from being converted to triglycerides, or from increase</w:t>
      </w:r>
      <w:r>
        <w:t>d</w:t>
      </w:r>
      <w:r w:rsidRPr="00AF0CED">
        <w:t xml:space="preserve"> activity of </w:t>
      </w:r>
      <w:r>
        <w:t xml:space="preserve">lipoprotein lipase bound in the </w:t>
      </w:r>
      <w:r w:rsidRPr="00AF0CED">
        <w:t>endothelium</w:t>
      </w:r>
      <w:r>
        <w:t xml:space="preserve"> </w:t>
      </w:r>
      <w:r w:rsidRPr="00AF0CED">
        <w:t>which hydrolyzes triglycerides into fatty acids (</w:t>
      </w:r>
      <w:r w:rsidRPr="00AF0CED">
        <w:rPr>
          <w:shd w:val="clear" w:color="auto" w:fill="FFFFFF"/>
        </w:rPr>
        <w:t>Feingold, 2021)</w:t>
      </w:r>
      <w:r w:rsidRPr="00AF0CED">
        <w:t xml:space="preserve">. Since elevated levels of TG, </w:t>
      </w:r>
      <w:r w:rsidRPr="00AF0CED">
        <w:rPr>
          <w:shd w:val="clear" w:color="auto" w:fill="FFFFFF"/>
        </w:rPr>
        <w:t>TC, LDL-</w:t>
      </w:r>
      <w:r>
        <w:rPr>
          <w:shd w:val="clear" w:color="auto" w:fill="FFFFFF"/>
        </w:rPr>
        <w:t>C</w:t>
      </w:r>
      <w:r w:rsidRPr="00AF0CED">
        <w:rPr>
          <w:shd w:val="clear" w:color="auto" w:fill="FFFFFF"/>
        </w:rPr>
        <w:t xml:space="preserve"> majorly result in increased cases of heart disease and stroke, the effect of these plant fractions in lowering them insinuates that they could p</w:t>
      </w:r>
      <w:r>
        <w:rPr>
          <w:shd w:val="clear" w:color="auto" w:fill="FFFFFF"/>
        </w:rPr>
        <w:t>articipate</w:t>
      </w:r>
      <w:r w:rsidRPr="00AF0CED">
        <w:rPr>
          <w:shd w:val="clear" w:color="auto" w:fill="FFFFFF"/>
        </w:rPr>
        <w:t xml:space="preserve"> in reducing the severity of heart diseases. This is collaborated with results from diverse studies which has shown that plant extracts and fractions proved effective in the lowering of high lipid levels (</w:t>
      </w:r>
      <w:proofErr w:type="spellStart"/>
      <w:r w:rsidRPr="00AF0CED">
        <w:rPr>
          <w:shd w:val="clear" w:color="auto" w:fill="FFFFFF"/>
        </w:rPr>
        <w:t>Ramchoun</w:t>
      </w:r>
      <w:proofErr w:type="spellEnd"/>
      <w:r w:rsidRPr="00AF0CED">
        <w:rPr>
          <w:shd w:val="clear" w:color="auto" w:fill="FFFFFF"/>
        </w:rPr>
        <w:t xml:space="preserve"> et al.,2012; </w:t>
      </w:r>
      <w:proofErr w:type="spellStart"/>
      <w:r w:rsidRPr="00AF0CED">
        <w:rPr>
          <w:shd w:val="clear" w:color="auto" w:fill="FFFFFF"/>
        </w:rPr>
        <w:t>Ramchoun</w:t>
      </w:r>
      <w:proofErr w:type="spellEnd"/>
      <w:r w:rsidRPr="00AF0CED">
        <w:rPr>
          <w:shd w:val="clear" w:color="auto" w:fill="FFFFFF"/>
        </w:rPr>
        <w:t xml:space="preserve"> et al., 2020; Anyanwu et al., 2021; </w:t>
      </w:r>
      <w:proofErr w:type="spellStart"/>
      <w:r w:rsidRPr="00AF0CED">
        <w:rPr>
          <w:shd w:val="clear" w:color="auto" w:fill="FFFFFF"/>
        </w:rPr>
        <w:t>Fadhlina</w:t>
      </w:r>
      <w:proofErr w:type="spellEnd"/>
      <w:r w:rsidRPr="00AF0CED">
        <w:rPr>
          <w:shd w:val="clear" w:color="auto" w:fill="FFFFFF"/>
        </w:rPr>
        <w:t xml:space="preserve"> et al., 2023).</w:t>
      </w:r>
    </w:p>
    <w:p w14:paraId="69745199" w14:textId="2F0145DF" w:rsidR="002D3C02" w:rsidRPr="00AF0CED" w:rsidRDefault="002D3C02" w:rsidP="002D3C02">
      <w:pPr>
        <w:pStyle w:val="p"/>
        <w:shd w:val="clear" w:color="auto" w:fill="FFFFFF"/>
        <w:spacing w:before="166" w:beforeAutospacing="0" w:after="166" w:afterAutospacing="0" w:line="360" w:lineRule="auto"/>
        <w:jc w:val="both"/>
      </w:pPr>
      <w:r w:rsidRPr="00AF0CED">
        <w:rPr>
          <w:i/>
        </w:rPr>
        <w:t xml:space="preserve">V. subterranea and O. </w:t>
      </w:r>
      <w:proofErr w:type="spellStart"/>
      <w:r w:rsidRPr="00AF0CED">
        <w:rPr>
          <w:i/>
        </w:rPr>
        <w:t>gratissimum</w:t>
      </w:r>
      <w:proofErr w:type="spellEnd"/>
      <w:r w:rsidRPr="00AF0CED">
        <w:rPr>
          <w:i/>
        </w:rPr>
        <w:t xml:space="preserve"> </w:t>
      </w:r>
      <w:r w:rsidRPr="00AF0CED">
        <w:t xml:space="preserve">at 150mg/ml reduced the CHOL/HDL ratio. When low, CHOL/HDL ratio is </w:t>
      </w:r>
      <w:r>
        <w:t xml:space="preserve">associated with a </w:t>
      </w:r>
      <w:r w:rsidRPr="00AF0CED">
        <w:t>reduced risk of cardiovascular diseases (</w:t>
      </w:r>
      <w:r w:rsidRPr="00AF0CED">
        <w:rPr>
          <w:shd w:val="clear" w:color="auto" w:fill="FFFFFF"/>
        </w:rPr>
        <w:t xml:space="preserve">Jeppesen, Facchini </w:t>
      </w:r>
      <w:r w:rsidRPr="00AF0CED">
        <w:rPr>
          <w:shd w:val="clear" w:color="auto" w:fill="FFFFFF"/>
        </w:rPr>
        <w:lastRenderedPageBreak/>
        <w:t xml:space="preserve">and Reaven, 1998). Therefore, the lowering effect of these plant fractions on CHOL/HDL ratio implies that it could </w:t>
      </w:r>
      <w:r>
        <w:rPr>
          <w:shd w:val="clear" w:color="auto" w:fill="FFFFFF"/>
        </w:rPr>
        <w:t xml:space="preserve">help reduce </w:t>
      </w:r>
      <w:r w:rsidRPr="00AF0CED">
        <w:rPr>
          <w:shd w:val="clear" w:color="auto" w:fill="FFFFFF"/>
        </w:rPr>
        <w:t>the risk of cardiovascular diseases.</w:t>
      </w:r>
    </w:p>
    <w:p w14:paraId="2E6B42F5" w14:textId="77777777" w:rsidR="002D3C02" w:rsidRPr="00AF0CED" w:rsidRDefault="002D3C02" w:rsidP="002D3C02">
      <w:pPr>
        <w:spacing w:after="240" w:line="360" w:lineRule="auto"/>
        <w:jc w:val="both"/>
        <w:rPr>
          <w:b/>
        </w:rPr>
      </w:pPr>
      <w:r w:rsidRPr="00AF0CED">
        <w:rPr>
          <w:b/>
        </w:rPr>
        <w:t>5. Conclusion</w:t>
      </w:r>
    </w:p>
    <w:p w14:paraId="63F48BD1" w14:textId="33750CC9" w:rsidR="002D3C02" w:rsidRPr="00AF0CED" w:rsidRDefault="002D3C02" w:rsidP="002D3C02">
      <w:pPr>
        <w:spacing w:line="360" w:lineRule="auto"/>
        <w:jc w:val="both"/>
      </w:pPr>
      <w:r w:rsidRPr="00AF0CED">
        <w:t xml:space="preserve">The results from this research clearly validate the antihyperlipidemic activity of </w:t>
      </w:r>
      <w:proofErr w:type="spellStart"/>
      <w:r w:rsidRPr="00AF0CED">
        <w:rPr>
          <w:i/>
        </w:rPr>
        <w:t>Ocimum</w:t>
      </w:r>
      <w:proofErr w:type="spellEnd"/>
      <w:r w:rsidRPr="00AF0CED">
        <w:rPr>
          <w:i/>
        </w:rPr>
        <w:t xml:space="preserve"> </w:t>
      </w:r>
      <w:proofErr w:type="spellStart"/>
      <w:r w:rsidRPr="00AF0CED">
        <w:rPr>
          <w:i/>
        </w:rPr>
        <w:t>gratissimum</w:t>
      </w:r>
      <w:proofErr w:type="spellEnd"/>
      <w:r w:rsidRPr="00AF0CED">
        <w:t xml:space="preserve"> and </w:t>
      </w:r>
      <w:r w:rsidRPr="00AF0CED">
        <w:rPr>
          <w:i/>
        </w:rPr>
        <w:t xml:space="preserve">Vigna </w:t>
      </w:r>
      <w:proofErr w:type="spellStart"/>
      <w:r w:rsidRPr="00AF0CED">
        <w:rPr>
          <w:i/>
        </w:rPr>
        <w:t>subterranea</w:t>
      </w:r>
      <w:proofErr w:type="spellEnd"/>
      <w:r w:rsidRPr="00AF0CED">
        <w:rPr>
          <w:i/>
        </w:rPr>
        <w:t xml:space="preserve"> </w:t>
      </w:r>
      <w:r w:rsidRPr="00AF0CED">
        <w:t xml:space="preserve">fractions </w:t>
      </w:r>
      <w:r w:rsidRPr="00AF0CED">
        <w:rPr>
          <w:i/>
        </w:rPr>
        <w:t>in vivo</w:t>
      </w:r>
      <w:r w:rsidRPr="00AF0CED">
        <w:t xml:space="preserve"> evidenced by their decreasing effect on triglyceride, low density lipoprotein, total cholesterol and CHOL/HDL levels. They were also confirmed to have inhibited pancreatic lipase</w:t>
      </w:r>
      <w:r w:rsidR="00F07F93">
        <w:t xml:space="preserve">, but only </w:t>
      </w:r>
      <w:r w:rsidR="00F07F93" w:rsidRPr="00AF0CED">
        <w:rPr>
          <w:i/>
        </w:rPr>
        <w:t>V</w:t>
      </w:r>
      <w:r w:rsidR="00F07F93">
        <w:rPr>
          <w:i/>
        </w:rPr>
        <w:t xml:space="preserve">. subterranean </w:t>
      </w:r>
      <w:r w:rsidR="00F07F93">
        <w:t xml:space="preserve">inhibited </w:t>
      </w:r>
      <w:r w:rsidRPr="00AF0CED">
        <w:t xml:space="preserve">alpha amylase </w:t>
      </w:r>
      <w:r w:rsidRPr="00AF0CED">
        <w:rPr>
          <w:i/>
        </w:rPr>
        <w:t>in vitro</w:t>
      </w:r>
      <w:r w:rsidRPr="00AF0CED">
        <w:t>.</w:t>
      </w:r>
      <w:r w:rsidR="002D1851">
        <w:t xml:space="preserve"> </w:t>
      </w:r>
      <w:r w:rsidR="002D1851" w:rsidRPr="002D1851">
        <w:rPr>
          <w:color w:val="EE0000"/>
        </w:rPr>
        <w:t xml:space="preserve">(We did not report alpha amylase activity for </w:t>
      </w:r>
      <w:proofErr w:type="spellStart"/>
      <w:r w:rsidR="002D1851" w:rsidRPr="002D1851">
        <w:rPr>
          <w:i/>
          <w:color w:val="EE0000"/>
        </w:rPr>
        <w:t>Ocimum</w:t>
      </w:r>
      <w:proofErr w:type="spellEnd"/>
      <w:r w:rsidR="002D1851" w:rsidRPr="002D1851">
        <w:rPr>
          <w:i/>
          <w:color w:val="EE0000"/>
        </w:rPr>
        <w:t xml:space="preserve"> </w:t>
      </w:r>
      <w:proofErr w:type="spellStart"/>
      <w:r w:rsidR="002D1851" w:rsidRPr="002D1851">
        <w:rPr>
          <w:i/>
          <w:color w:val="EE0000"/>
        </w:rPr>
        <w:t>gratissimum</w:t>
      </w:r>
      <w:proofErr w:type="spellEnd"/>
      <w:r w:rsidR="002D1851" w:rsidRPr="002D1851">
        <w:rPr>
          <w:color w:val="EE0000"/>
        </w:rPr>
        <w:t>)</w:t>
      </w:r>
      <w:r w:rsidRPr="00AF0CED">
        <w:t xml:space="preserve"> Therefore, they might serve as potent agents in the research for anti-obesity compounds which can be drug candidates.</w:t>
      </w:r>
    </w:p>
    <w:p w14:paraId="37A4B076" w14:textId="77777777" w:rsidR="002D3C02" w:rsidRPr="00AF0CED" w:rsidRDefault="002D3C02" w:rsidP="002D3C02">
      <w:pPr>
        <w:spacing w:line="360" w:lineRule="auto"/>
        <w:jc w:val="both"/>
      </w:pPr>
    </w:p>
    <w:p w14:paraId="4412690C" w14:textId="77777777" w:rsidR="002D3C02" w:rsidRPr="00AF0CED" w:rsidRDefault="002D3C02" w:rsidP="002D3C02">
      <w:pPr>
        <w:spacing w:line="360" w:lineRule="auto"/>
        <w:jc w:val="both"/>
        <w:rPr>
          <w:b/>
        </w:rPr>
      </w:pPr>
      <w:r w:rsidRPr="00AF0CED">
        <w:rPr>
          <w:b/>
        </w:rPr>
        <w:t>References</w:t>
      </w:r>
    </w:p>
    <w:p w14:paraId="1154C475" w14:textId="77777777" w:rsidR="002D3C02" w:rsidRPr="00AF0CED" w:rsidRDefault="002D3C02" w:rsidP="002D3C02">
      <w:pPr>
        <w:spacing w:line="360" w:lineRule="auto"/>
        <w:ind w:left="720" w:hanging="720"/>
        <w:jc w:val="both"/>
      </w:pPr>
    </w:p>
    <w:p w14:paraId="7C0180D6" w14:textId="77777777" w:rsidR="002D3C02" w:rsidRPr="00AF0CED" w:rsidRDefault="002D3C02" w:rsidP="002D3C02">
      <w:pPr>
        <w:spacing w:line="360" w:lineRule="auto"/>
        <w:ind w:left="720" w:hanging="720"/>
        <w:jc w:val="both"/>
        <w:rPr>
          <w:shd w:val="clear" w:color="auto" w:fill="FFFFFF"/>
        </w:rPr>
      </w:pPr>
      <w:r w:rsidRPr="00AF0CED">
        <w:rPr>
          <w:shd w:val="clear" w:color="auto" w:fill="FFFFFF"/>
        </w:rPr>
        <w:t xml:space="preserve">Anis Fadhlina, Nur Fatin Afifa Alias, Hassan I. Sheikh, Nor Hafizah Zakaria, Fadzilah Adibah Abdul Majid, Muhammad Afnan Shakir Hairani, Dwi Hudiyanti., 2023. Role of herbal tea (Camellia sinensis L. Kuntze, Zingiber </w:t>
      </w:r>
      <w:proofErr w:type="spellStart"/>
      <w:r w:rsidRPr="00AF0CED">
        <w:rPr>
          <w:shd w:val="clear" w:color="auto" w:fill="FFFFFF"/>
        </w:rPr>
        <w:t>officinale</w:t>
      </w:r>
      <w:proofErr w:type="spellEnd"/>
      <w:r w:rsidRPr="00AF0CED">
        <w:rPr>
          <w:shd w:val="clear" w:color="auto" w:fill="FFFFFF"/>
        </w:rPr>
        <w:t xml:space="preserve"> Roscoe and </w:t>
      </w:r>
      <w:proofErr w:type="spellStart"/>
      <w:r w:rsidRPr="00AF0CED">
        <w:rPr>
          <w:shd w:val="clear" w:color="auto" w:fill="FFFFFF"/>
        </w:rPr>
        <w:t>Morinda</w:t>
      </w:r>
      <w:proofErr w:type="spellEnd"/>
      <w:r w:rsidRPr="00AF0CED">
        <w:rPr>
          <w:shd w:val="clear" w:color="auto" w:fill="FFFFFF"/>
        </w:rPr>
        <w:t xml:space="preserve"> </w:t>
      </w:r>
      <w:proofErr w:type="spellStart"/>
      <w:r w:rsidRPr="00AF0CED">
        <w:rPr>
          <w:shd w:val="clear" w:color="auto" w:fill="FFFFFF"/>
        </w:rPr>
        <w:t>citrifolia</w:t>
      </w:r>
      <w:proofErr w:type="spellEnd"/>
      <w:r w:rsidRPr="00AF0CED">
        <w:rPr>
          <w:shd w:val="clear" w:color="auto" w:fill="FFFFFF"/>
        </w:rPr>
        <w:t xml:space="preserve"> L.) in lowering cholesterol level: A review and bibliometric analysis, Journal of Agriculture and Food Research, Volume 13, 100649, ISSN 2666-1543, https://doi.org/10.1016/j.jafr.2023.100649.</w:t>
      </w:r>
    </w:p>
    <w:p w14:paraId="60B884C1" w14:textId="77777777" w:rsidR="002D3C02" w:rsidRPr="00AF0CED" w:rsidRDefault="002D3C02" w:rsidP="002D3C02">
      <w:pPr>
        <w:spacing w:after="200" w:line="360" w:lineRule="auto"/>
        <w:ind w:left="720" w:hanging="720"/>
        <w:jc w:val="both"/>
        <w:rPr>
          <w:rFonts w:eastAsia="SimSun"/>
          <w:lang w:eastAsia="zh-CN"/>
        </w:rPr>
      </w:pPr>
      <w:r w:rsidRPr="00AF0CED">
        <w:rPr>
          <w:shd w:val="clear" w:color="auto" w:fill="FFFFFF"/>
        </w:rPr>
        <w:t xml:space="preserve">Anyanwu, G.O., </w:t>
      </w:r>
      <w:proofErr w:type="spellStart"/>
      <w:r w:rsidRPr="00AF0CED">
        <w:rPr>
          <w:shd w:val="clear" w:color="auto" w:fill="FFFFFF"/>
        </w:rPr>
        <w:t>Anzaku</w:t>
      </w:r>
      <w:proofErr w:type="spellEnd"/>
      <w:r w:rsidRPr="00AF0CED">
        <w:rPr>
          <w:shd w:val="clear" w:color="auto" w:fill="FFFFFF"/>
        </w:rPr>
        <w:t xml:space="preserve">, D., </w:t>
      </w:r>
      <w:proofErr w:type="spellStart"/>
      <w:r w:rsidRPr="00AF0CED">
        <w:rPr>
          <w:shd w:val="clear" w:color="auto" w:fill="FFFFFF"/>
        </w:rPr>
        <w:t>Donwell</w:t>
      </w:r>
      <w:proofErr w:type="spellEnd"/>
      <w:r w:rsidRPr="00AF0CED">
        <w:rPr>
          <w:shd w:val="clear" w:color="auto" w:fill="FFFFFF"/>
        </w:rPr>
        <w:t xml:space="preserve">, C.C., </w:t>
      </w:r>
      <w:proofErr w:type="spellStart"/>
      <w:r w:rsidRPr="00AF0CED">
        <w:rPr>
          <w:shd w:val="clear" w:color="auto" w:fill="FFFFFF"/>
        </w:rPr>
        <w:t>Usunobun</w:t>
      </w:r>
      <w:proofErr w:type="spellEnd"/>
      <w:r w:rsidRPr="00AF0CED">
        <w:rPr>
          <w:shd w:val="clear" w:color="auto" w:fill="FFFFFF"/>
        </w:rPr>
        <w:t xml:space="preserve">, U., </w:t>
      </w:r>
      <w:proofErr w:type="spellStart"/>
      <w:r w:rsidRPr="00AF0CED">
        <w:rPr>
          <w:shd w:val="clear" w:color="auto" w:fill="FFFFFF"/>
        </w:rPr>
        <w:t>Adegbegi</w:t>
      </w:r>
      <w:proofErr w:type="spellEnd"/>
      <w:r w:rsidRPr="00AF0CED">
        <w:rPr>
          <w:shd w:val="clear" w:color="auto" w:fill="FFFFFF"/>
        </w:rPr>
        <w:t xml:space="preserve">, A.J., </w:t>
      </w:r>
      <w:proofErr w:type="spellStart"/>
      <w:r w:rsidRPr="00AF0CED">
        <w:rPr>
          <w:shd w:val="clear" w:color="auto" w:fill="FFFFFF"/>
        </w:rPr>
        <w:t>Ofoha</w:t>
      </w:r>
      <w:proofErr w:type="spellEnd"/>
      <w:r w:rsidRPr="00AF0CED">
        <w:rPr>
          <w:shd w:val="clear" w:color="auto" w:fill="FFFFFF"/>
        </w:rPr>
        <w:t xml:space="preserve">, P.C. and Rauf, K., 2021. Chemical composition and in vitro </w:t>
      </w:r>
      <w:proofErr w:type="spellStart"/>
      <w:r w:rsidRPr="00AF0CED">
        <w:rPr>
          <w:shd w:val="clear" w:color="auto" w:fill="FFFFFF"/>
        </w:rPr>
        <w:t>antiobesity</w:t>
      </w:r>
      <w:proofErr w:type="spellEnd"/>
      <w:r w:rsidRPr="00AF0CED">
        <w:rPr>
          <w:shd w:val="clear" w:color="auto" w:fill="FFFFFF"/>
        </w:rPr>
        <w:t xml:space="preserve"> and in vivo anti-hyperlipidemic effects of </w:t>
      </w:r>
      <w:proofErr w:type="spellStart"/>
      <w:r w:rsidRPr="00AF0CED">
        <w:rPr>
          <w:shd w:val="clear" w:color="auto" w:fill="FFFFFF"/>
        </w:rPr>
        <w:t>Ceratotheca</w:t>
      </w:r>
      <w:proofErr w:type="spellEnd"/>
      <w:r w:rsidRPr="00AF0CED">
        <w:rPr>
          <w:shd w:val="clear" w:color="auto" w:fill="FFFFFF"/>
        </w:rPr>
        <w:t xml:space="preserve"> </w:t>
      </w:r>
      <w:proofErr w:type="spellStart"/>
      <w:r w:rsidRPr="00AF0CED">
        <w:rPr>
          <w:shd w:val="clear" w:color="auto" w:fill="FFFFFF"/>
        </w:rPr>
        <w:t>sesamoides</w:t>
      </w:r>
      <w:proofErr w:type="spellEnd"/>
      <w:r w:rsidRPr="00AF0CED">
        <w:rPr>
          <w:shd w:val="clear" w:color="auto" w:fill="FFFFFF"/>
        </w:rPr>
        <w:t xml:space="preserve">, Jatropha </w:t>
      </w:r>
      <w:proofErr w:type="spellStart"/>
      <w:r w:rsidRPr="00AF0CED">
        <w:rPr>
          <w:shd w:val="clear" w:color="auto" w:fill="FFFFFF"/>
        </w:rPr>
        <w:t>tanjorensis</w:t>
      </w:r>
      <w:proofErr w:type="spellEnd"/>
      <w:r w:rsidRPr="00AF0CED">
        <w:rPr>
          <w:shd w:val="clear" w:color="auto" w:fill="FFFFFF"/>
        </w:rPr>
        <w:t xml:space="preserve">, Mucuna flagellipes, Pterocarpus </w:t>
      </w:r>
      <w:proofErr w:type="spellStart"/>
      <w:r w:rsidRPr="00AF0CED">
        <w:rPr>
          <w:shd w:val="clear" w:color="auto" w:fill="FFFFFF"/>
        </w:rPr>
        <w:t>mildbraedii</w:t>
      </w:r>
      <w:proofErr w:type="spellEnd"/>
      <w:r w:rsidRPr="00AF0CED">
        <w:rPr>
          <w:shd w:val="clear" w:color="auto" w:fill="FFFFFF"/>
        </w:rPr>
        <w:t xml:space="preserve"> and Piper </w:t>
      </w:r>
      <w:proofErr w:type="spellStart"/>
      <w:r w:rsidRPr="00AF0CED">
        <w:rPr>
          <w:shd w:val="clear" w:color="auto" w:fill="FFFFFF"/>
        </w:rPr>
        <w:t>guineense</w:t>
      </w:r>
      <w:proofErr w:type="spellEnd"/>
      <w:r w:rsidRPr="00AF0CED">
        <w:rPr>
          <w:shd w:val="clear" w:color="auto" w:fill="FFFFFF"/>
        </w:rPr>
        <w:t>. </w:t>
      </w:r>
      <w:r w:rsidRPr="00AF0CED">
        <w:rPr>
          <w:i/>
          <w:iCs/>
          <w:shd w:val="clear" w:color="auto" w:fill="FFFFFF"/>
        </w:rPr>
        <w:t>Phytomedicine Plus</w:t>
      </w:r>
      <w:r w:rsidRPr="00AF0CED">
        <w:rPr>
          <w:shd w:val="clear" w:color="auto" w:fill="FFFFFF"/>
        </w:rPr>
        <w:t>, </w:t>
      </w:r>
      <w:r w:rsidRPr="00AF0CED">
        <w:rPr>
          <w:i/>
          <w:iCs/>
          <w:shd w:val="clear" w:color="auto" w:fill="FFFFFF"/>
        </w:rPr>
        <w:t>1</w:t>
      </w:r>
      <w:r w:rsidRPr="00AF0CED">
        <w:rPr>
          <w:shd w:val="clear" w:color="auto" w:fill="FFFFFF"/>
        </w:rPr>
        <w:t>(3), p.100042.</w:t>
      </w:r>
    </w:p>
    <w:p w14:paraId="21C9D96D" w14:textId="77777777" w:rsidR="002D3C02" w:rsidRPr="00AF0CED" w:rsidRDefault="002D3C02" w:rsidP="002D3C02">
      <w:pPr>
        <w:spacing w:after="200" w:line="360" w:lineRule="auto"/>
        <w:ind w:left="720" w:hanging="720"/>
        <w:jc w:val="both"/>
        <w:rPr>
          <w:rFonts w:eastAsia="SimSun"/>
          <w:lang w:eastAsia="zh-CN"/>
        </w:rPr>
      </w:pPr>
      <w:r w:rsidRPr="00AF0CED">
        <w:rPr>
          <w:rFonts w:eastAsia="SimSun"/>
          <w:lang w:eastAsia="zh-CN"/>
        </w:rPr>
        <w:t xml:space="preserve">Anyanwu, GO, </w:t>
      </w:r>
      <w:proofErr w:type="spellStart"/>
      <w:r w:rsidRPr="00AF0CED">
        <w:rPr>
          <w:rFonts w:eastAsia="SimSun"/>
          <w:lang w:eastAsia="zh-CN"/>
        </w:rPr>
        <w:t>Onyeneke</w:t>
      </w:r>
      <w:proofErr w:type="spellEnd"/>
      <w:r w:rsidRPr="00AF0CED">
        <w:rPr>
          <w:rFonts w:eastAsia="SimSun"/>
          <w:lang w:eastAsia="zh-CN"/>
        </w:rPr>
        <w:t xml:space="preserve"> EC, </w:t>
      </w:r>
      <w:proofErr w:type="spellStart"/>
      <w:r w:rsidRPr="00AF0CED">
        <w:rPr>
          <w:rFonts w:eastAsia="SimSun"/>
          <w:lang w:eastAsia="zh-CN"/>
        </w:rPr>
        <w:t>Usunobun</w:t>
      </w:r>
      <w:proofErr w:type="spellEnd"/>
      <w:r w:rsidRPr="00AF0CED">
        <w:rPr>
          <w:rFonts w:eastAsia="SimSun"/>
          <w:lang w:eastAsia="zh-CN"/>
        </w:rPr>
        <w:t xml:space="preserve"> U, </w:t>
      </w:r>
      <w:proofErr w:type="spellStart"/>
      <w:r w:rsidRPr="00AF0CED">
        <w:rPr>
          <w:rFonts w:eastAsia="SimSun"/>
          <w:lang w:eastAsia="zh-CN"/>
        </w:rPr>
        <w:t>Adegbegi</w:t>
      </w:r>
      <w:proofErr w:type="spellEnd"/>
      <w:r w:rsidRPr="00AF0CED">
        <w:rPr>
          <w:rFonts w:eastAsia="SimSun"/>
          <w:lang w:eastAsia="zh-CN"/>
        </w:rPr>
        <w:t xml:space="preserve"> AJ. (2013). Impact of </w:t>
      </w:r>
      <w:proofErr w:type="spellStart"/>
      <w:r w:rsidRPr="00AF0CED">
        <w:rPr>
          <w:rFonts w:eastAsia="SimSun"/>
          <w:lang w:eastAsia="zh-CN"/>
        </w:rPr>
        <w:t>Anthocleista</w:t>
      </w:r>
      <w:proofErr w:type="spellEnd"/>
      <w:r w:rsidRPr="00AF0CED">
        <w:rPr>
          <w:rFonts w:eastAsia="SimSun"/>
          <w:lang w:eastAsia="zh-CN"/>
        </w:rPr>
        <w:t xml:space="preserve"> </w:t>
      </w:r>
      <w:proofErr w:type="spellStart"/>
      <w:r w:rsidRPr="00AF0CED">
        <w:rPr>
          <w:rFonts w:eastAsia="SimSun"/>
          <w:lang w:eastAsia="zh-CN"/>
        </w:rPr>
        <w:t>vogelii</w:t>
      </w:r>
      <w:proofErr w:type="spellEnd"/>
      <w:r w:rsidRPr="00AF0CED">
        <w:rPr>
          <w:rFonts w:eastAsia="SimSun"/>
          <w:lang w:eastAsia="zh-CN"/>
        </w:rPr>
        <w:t xml:space="preserve"> root bark ethanolic extract on weight reduction in high carbohydrate diet induced obesity in male </w:t>
      </w:r>
      <w:proofErr w:type="spellStart"/>
      <w:r w:rsidRPr="00AF0CED">
        <w:rPr>
          <w:rFonts w:eastAsia="SimSun"/>
          <w:lang w:eastAsia="zh-CN"/>
        </w:rPr>
        <w:t>wistar</w:t>
      </w:r>
      <w:proofErr w:type="spellEnd"/>
      <w:r w:rsidRPr="00AF0CED">
        <w:rPr>
          <w:rFonts w:eastAsia="SimSun"/>
          <w:lang w:eastAsia="zh-CN"/>
        </w:rPr>
        <w:t xml:space="preserve"> rats. Afr. J. </w:t>
      </w:r>
      <w:proofErr w:type="spellStart"/>
      <w:r w:rsidRPr="00AF0CED">
        <w:rPr>
          <w:rFonts w:eastAsia="SimSun"/>
          <w:lang w:eastAsia="zh-CN"/>
        </w:rPr>
        <w:t>Biochem</w:t>
      </w:r>
      <w:proofErr w:type="spellEnd"/>
      <w:r w:rsidRPr="00AF0CED">
        <w:rPr>
          <w:rFonts w:eastAsia="SimSun"/>
          <w:lang w:eastAsia="zh-CN"/>
        </w:rPr>
        <w:t>. Res; 7: 225-232.</w:t>
      </w:r>
    </w:p>
    <w:p w14:paraId="57A6E0FF" w14:textId="77777777" w:rsidR="002D3C02" w:rsidRPr="00AF0CED" w:rsidRDefault="002D3C02" w:rsidP="002D3C02">
      <w:pPr>
        <w:spacing w:line="360" w:lineRule="auto"/>
        <w:ind w:left="720" w:hanging="720"/>
        <w:jc w:val="both"/>
      </w:pPr>
      <w:r w:rsidRPr="00AF0CED">
        <w:rPr>
          <w:shd w:val="clear" w:color="auto" w:fill="FFFFFF"/>
        </w:rPr>
        <w:t>Australia, H., 2023. Coronary heart disease and atherosclerosis.</w:t>
      </w:r>
    </w:p>
    <w:p w14:paraId="38126B88" w14:textId="31575F63" w:rsidR="002D3C02" w:rsidRPr="00AF0CED" w:rsidRDefault="002D3C02" w:rsidP="002D3C02">
      <w:pPr>
        <w:spacing w:line="360" w:lineRule="auto"/>
        <w:ind w:left="720" w:hanging="720"/>
        <w:jc w:val="both"/>
      </w:pPr>
      <w:proofErr w:type="spellStart"/>
      <w:r w:rsidRPr="00AF0CED">
        <w:rPr>
          <w:lang w:val="fr-FR"/>
        </w:rPr>
        <w:t>Belichard</w:t>
      </w:r>
      <w:proofErr w:type="spellEnd"/>
      <w:r w:rsidRPr="00AF0CED">
        <w:rPr>
          <w:lang w:val="fr-FR"/>
        </w:rPr>
        <w:t xml:space="preserve"> P, Pruneau D, </w:t>
      </w:r>
      <w:proofErr w:type="spellStart"/>
      <w:r w:rsidRPr="00AF0CED">
        <w:rPr>
          <w:lang w:val="fr-FR"/>
        </w:rPr>
        <w:t>Zhiri</w:t>
      </w:r>
      <w:proofErr w:type="spellEnd"/>
      <w:r w:rsidRPr="00AF0CED">
        <w:rPr>
          <w:lang w:val="fr-FR"/>
        </w:rPr>
        <w:t xml:space="preserve"> A (1993). </w:t>
      </w:r>
      <w:r w:rsidRPr="00AF0CED">
        <w:t xml:space="preserve">Effect of a Long-Term Treatment with Lovastatin or Fenofibrate on Hepatic and Cardiac Ubiquinone levels in Cardiomyopathic Hamster. </w:t>
      </w:r>
      <w:proofErr w:type="spellStart"/>
      <w:r w:rsidRPr="00AF0CED">
        <w:t>Biochim</w:t>
      </w:r>
      <w:proofErr w:type="spellEnd"/>
      <w:r w:rsidRPr="00AF0CED">
        <w:t xml:space="preserve"> </w:t>
      </w:r>
      <w:proofErr w:type="spellStart"/>
      <w:r w:rsidRPr="00AF0CED">
        <w:t>Biophys</w:t>
      </w:r>
      <w:proofErr w:type="spellEnd"/>
      <w:r w:rsidRPr="00AF0CED">
        <w:t xml:space="preserve"> Acta Jul21; 1169(1):98-102.</w:t>
      </w:r>
    </w:p>
    <w:p w14:paraId="35B41287" w14:textId="77777777" w:rsidR="002D3C02" w:rsidRPr="00AF0CED" w:rsidRDefault="002D3C02" w:rsidP="002D3C02">
      <w:pPr>
        <w:spacing w:line="360" w:lineRule="auto"/>
        <w:ind w:left="720" w:hanging="720"/>
        <w:jc w:val="both"/>
      </w:pPr>
      <w:r w:rsidRPr="00AF0CED">
        <w:rPr>
          <w:shd w:val="clear" w:color="auto" w:fill="FFFFFF"/>
        </w:rPr>
        <w:lastRenderedPageBreak/>
        <w:t xml:space="preserve">Bhandari, M.R., Jong-Anurakkun, N., Hong, G., Kawabata, J. 2008. </w:t>
      </w:r>
      <w:r w:rsidRPr="00AF0CED">
        <w:t xml:space="preserve">α-Glucosidase and α-amylase inhibitory activities of Nepalese medicinal </w:t>
      </w:r>
      <w:proofErr w:type="spellStart"/>
      <w:r w:rsidRPr="00AF0CED">
        <w:t>herd</w:t>
      </w:r>
      <w:proofErr w:type="spellEnd"/>
      <w:r w:rsidRPr="00AF0CED">
        <w:t xml:space="preserve"> </w:t>
      </w:r>
      <w:proofErr w:type="spellStart"/>
      <w:r w:rsidRPr="00AF0CED">
        <w:t>Pakhanbhed</w:t>
      </w:r>
      <w:proofErr w:type="spellEnd"/>
      <w:r w:rsidRPr="00AF0CED">
        <w:t xml:space="preserve"> (Bergenia ciliate, Haw.). </w:t>
      </w:r>
      <w:r w:rsidRPr="00AF0CED">
        <w:rPr>
          <w:i/>
        </w:rPr>
        <w:t>Food Chemistry, 106</w:t>
      </w:r>
      <w:r w:rsidRPr="00AF0CED">
        <w:t>(1):247-252.</w:t>
      </w:r>
    </w:p>
    <w:p w14:paraId="5837A1E1" w14:textId="77777777" w:rsidR="002D3C02" w:rsidRPr="00AF0CED" w:rsidRDefault="002D3C02" w:rsidP="002D3C02">
      <w:pPr>
        <w:spacing w:line="360" w:lineRule="auto"/>
        <w:ind w:left="720" w:hanging="720"/>
        <w:jc w:val="both"/>
        <w:rPr>
          <w:shd w:val="clear" w:color="auto" w:fill="FFFFFF"/>
        </w:rPr>
      </w:pPr>
      <w:proofErr w:type="spellStart"/>
      <w:r w:rsidRPr="00AF0CED">
        <w:rPr>
          <w:shd w:val="clear" w:color="auto" w:fill="FFFFFF"/>
        </w:rPr>
        <w:t>Birari</w:t>
      </w:r>
      <w:proofErr w:type="spellEnd"/>
      <w:r w:rsidRPr="00AF0CED">
        <w:rPr>
          <w:shd w:val="clear" w:color="auto" w:fill="FFFFFF"/>
        </w:rPr>
        <w:t xml:space="preserve">, R.B. and </w:t>
      </w:r>
      <w:proofErr w:type="spellStart"/>
      <w:r w:rsidRPr="00AF0CED">
        <w:rPr>
          <w:shd w:val="clear" w:color="auto" w:fill="FFFFFF"/>
        </w:rPr>
        <w:t>Bhutani</w:t>
      </w:r>
      <w:proofErr w:type="spellEnd"/>
      <w:r w:rsidRPr="00AF0CED">
        <w:rPr>
          <w:shd w:val="clear" w:color="auto" w:fill="FFFFFF"/>
        </w:rPr>
        <w:t>, K.K., 2007. Pancreatic lipase inhibitors from natural sources: unexplored potential. </w:t>
      </w:r>
      <w:r w:rsidRPr="00AF0CED">
        <w:rPr>
          <w:i/>
          <w:iCs/>
          <w:shd w:val="clear" w:color="auto" w:fill="FFFFFF"/>
        </w:rPr>
        <w:t>Drug discovery today</w:t>
      </w:r>
      <w:r w:rsidRPr="00AF0CED">
        <w:rPr>
          <w:shd w:val="clear" w:color="auto" w:fill="FFFFFF"/>
        </w:rPr>
        <w:t>, </w:t>
      </w:r>
      <w:r w:rsidRPr="00AF0CED">
        <w:rPr>
          <w:i/>
          <w:iCs/>
          <w:shd w:val="clear" w:color="auto" w:fill="FFFFFF"/>
        </w:rPr>
        <w:t>12</w:t>
      </w:r>
      <w:r w:rsidRPr="00AF0CED">
        <w:rPr>
          <w:shd w:val="clear" w:color="auto" w:fill="FFFFFF"/>
        </w:rPr>
        <w:t>(19-20), pp.879-889.</w:t>
      </w:r>
    </w:p>
    <w:p w14:paraId="694A1099" w14:textId="77777777" w:rsidR="002D3C02" w:rsidRPr="00AF0CED" w:rsidRDefault="002D3C02" w:rsidP="002D3C02">
      <w:pPr>
        <w:spacing w:line="360" w:lineRule="auto"/>
        <w:ind w:left="720" w:hanging="720"/>
        <w:jc w:val="both"/>
      </w:pPr>
      <w:r w:rsidRPr="00AF0CED">
        <w:t xml:space="preserve">Choi, JS, </w:t>
      </w:r>
      <w:proofErr w:type="spellStart"/>
      <w:r w:rsidRPr="00AF0CED">
        <w:t>Yokozawa</w:t>
      </w:r>
      <w:proofErr w:type="spellEnd"/>
      <w:r w:rsidRPr="00AF0CED">
        <w:t xml:space="preserve"> T, and </w:t>
      </w:r>
      <w:proofErr w:type="spellStart"/>
      <w:r w:rsidRPr="00AF0CED">
        <w:t>Oura</w:t>
      </w:r>
      <w:proofErr w:type="spellEnd"/>
      <w:r w:rsidRPr="00AF0CED">
        <w:t xml:space="preserve"> H. (1991).  Antihyperlipidemic effect of flavonoids from Prunus </w:t>
      </w:r>
      <w:proofErr w:type="spellStart"/>
      <w:r w:rsidRPr="00AF0CED">
        <w:t>davidiana</w:t>
      </w:r>
      <w:proofErr w:type="spellEnd"/>
      <w:r w:rsidRPr="00AF0CED">
        <w:t>. J. Nat. Prod; 54:218-224.</w:t>
      </w:r>
    </w:p>
    <w:p w14:paraId="596BB1F2" w14:textId="77777777" w:rsidR="002D3C02" w:rsidRPr="00AF0CED" w:rsidRDefault="002D3C02" w:rsidP="002D3C02">
      <w:pPr>
        <w:spacing w:line="360" w:lineRule="auto"/>
        <w:ind w:left="720" w:hanging="720"/>
        <w:jc w:val="both"/>
      </w:pPr>
      <w:proofErr w:type="spellStart"/>
      <w:r w:rsidRPr="00AF0CED">
        <w:rPr>
          <w:shd w:val="clear" w:color="auto" w:fill="FFFFFF"/>
        </w:rPr>
        <w:t>Ebong</w:t>
      </w:r>
      <w:proofErr w:type="spellEnd"/>
      <w:r w:rsidRPr="00AF0CED">
        <w:rPr>
          <w:shd w:val="clear" w:color="auto" w:fill="FFFFFF"/>
        </w:rPr>
        <w:t xml:space="preserve">, P.E., </w:t>
      </w:r>
      <w:proofErr w:type="spellStart"/>
      <w:r w:rsidRPr="00AF0CED">
        <w:rPr>
          <w:shd w:val="clear" w:color="auto" w:fill="FFFFFF"/>
        </w:rPr>
        <w:t>Atangwho</w:t>
      </w:r>
      <w:proofErr w:type="spellEnd"/>
      <w:r w:rsidRPr="00AF0CED">
        <w:rPr>
          <w:shd w:val="clear" w:color="auto" w:fill="FFFFFF"/>
        </w:rPr>
        <w:t xml:space="preserve">, I.J., </w:t>
      </w:r>
      <w:proofErr w:type="spellStart"/>
      <w:r w:rsidRPr="00AF0CED">
        <w:rPr>
          <w:shd w:val="clear" w:color="auto" w:fill="FFFFFF"/>
        </w:rPr>
        <w:t>Eyong</w:t>
      </w:r>
      <w:proofErr w:type="spellEnd"/>
      <w:r w:rsidRPr="00AF0CED">
        <w:rPr>
          <w:shd w:val="clear" w:color="auto" w:fill="FFFFFF"/>
        </w:rPr>
        <w:t xml:space="preserve">, E.U., </w:t>
      </w:r>
      <w:proofErr w:type="spellStart"/>
      <w:r w:rsidRPr="00AF0CED">
        <w:rPr>
          <w:shd w:val="clear" w:color="auto" w:fill="FFFFFF"/>
        </w:rPr>
        <w:t>Egbung</w:t>
      </w:r>
      <w:proofErr w:type="spellEnd"/>
      <w:r w:rsidRPr="00AF0CED">
        <w:rPr>
          <w:shd w:val="clear" w:color="auto" w:fill="FFFFFF"/>
        </w:rPr>
        <w:t xml:space="preserve">, G.E. and </w:t>
      </w:r>
      <w:proofErr w:type="spellStart"/>
      <w:r w:rsidRPr="00AF0CED">
        <w:rPr>
          <w:shd w:val="clear" w:color="auto" w:fill="FFFFFF"/>
        </w:rPr>
        <w:t>Ikpeme</w:t>
      </w:r>
      <w:proofErr w:type="spellEnd"/>
      <w:r w:rsidRPr="00AF0CED">
        <w:rPr>
          <w:shd w:val="clear" w:color="auto" w:fill="FFFFFF"/>
        </w:rPr>
        <w:t xml:space="preserve">, E.V., 2011. Effect of co-administration of extracts of Vernonia </w:t>
      </w:r>
      <w:proofErr w:type="spellStart"/>
      <w:r w:rsidRPr="00AF0CED">
        <w:rPr>
          <w:shd w:val="clear" w:color="auto" w:fill="FFFFFF"/>
        </w:rPr>
        <w:t>amygdalina</w:t>
      </w:r>
      <w:proofErr w:type="spellEnd"/>
      <w:r w:rsidRPr="00AF0CED">
        <w:rPr>
          <w:shd w:val="clear" w:color="auto" w:fill="FFFFFF"/>
        </w:rPr>
        <w:t xml:space="preserve"> and </w:t>
      </w:r>
      <w:proofErr w:type="spellStart"/>
      <w:r w:rsidRPr="00AF0CED">
        <w:rPr>
          <w:shd w:val="clear" w:color="auto" w:fill="FFFFFF"/>
        </w:rPr>
        <w:t>Azadirachta</w:t>
      </w:r>
      <w:proofErr w:type="spellEnd"/>
      <w:r w:rsidRPr="00AF0CED">
        <w:rPr>
          <w:shd w:val="clear" w:color="auto" w:fill="FFFFFF"/>
        </w:rPr>
        <w:t xml:space="preserve"> </w:t>
      </w:r>
      <w:proofErr w:type="spellStart"/>
      <w:r w:rsidRPr="00AF0CED">
        <w:rPr>
          <w:shd w:val="clear" w:color="auto" w:fill="FFFFFF"/>
        </w:rPr>
        <w:t>indica</w:t>
      </w:r>
      <w:proofErr w:type="spellEnd"/>
      <w:r w:rsidRPr="00AF0CED">
        <w:rPr>
          <w:shd w:val="clear" w:color="auto" w:fill="FFFFFF"/>
        </w:rPr>
        <w:t xml:space="preserve"> on lipid profile and oxidative stress in hepatocytes of normal and diabetic rats. </w:t>
      </w:r>
      <w:r w:rsidRPr="00AF0CED">
        <w:rPr>
          <w:i/>
          <w:iCs/>
          <w:shd w:val="clear" w:color="auto" w:fill="FFFFFF"/>
        </w:rPr>
        <w:t>Agric. Biol. JN Am</w:t>
      </w:r>
      <w:r w:rsidRPr="00AF0CED">
        <w:rPr>
          <w:shd w:val="clear" w:color="auto" w:fill="FFFFFF"/>
        </w:rPr>
        <w:t>, </w:t>
      </w:r>
      <w:r w:rsidRPr="00AF0CED">
        <w:rPr>
          <w:i/>
          <w:iCs/>
          <w:shd w:val="clear" w:color="auto" w:fill="FFFFFF"/>
        </w:rPr>
        <w:t>2</w:t>
      </w:r>
      <w:r w:rsidRPr="00AF0CED">
        <w:rPr>
          <w:shd w:val="clear" w:color="auto" w:fill="FFFFFF"/>
        </w:rPr>
        <w:t>(7), pp.1087-1095.</w:t>
      </w:r>
    </w:p>
    <w:p w14:paraId="13966E21" w14:textId="77777777" w:rsidR="002D3C02" w:rsidRPr="00AF0CED" w:rsidRDefault="002D3C02" w:rsidP="002D3C02">
      <w:pPr>
        <w:spacing w:line="360" w:lineRule="auto"/>
        <w:ind w:left="720" w:hanging="720"/>
        <w:jc w:val="both"/>
      </w:pPr>
      <w:proofErr w:type="spellStart"/>
      <w:r w:rsidRPr="00AF0CED">
        <w:rPr>
          <w:shd w:val="clear" w:color="auto" w:fill="FFFFFF"/>
        </w:rPr>
        <w:t>Estruch</w:t>
      </w:r>
      <w:proofErr w:type="spellEnd"/>
      <w:r w:rsidRPr="00AF0CED">
        <w:rPr>
          <w:shd w:val="clear" w:color="auto" w:fill="FFFFFF"/>
        </w:rPr>
        <w:t xml:space="preserve"> R, Ros E, Salas-Salvado J, et al. </w:t>
      </w:r>
      <w:r w:rsidRPr="00AF0CED">
        <w:rPr>
          <w:rStyle w:val="ref-title"/>
          <w:rFonts w:eastAsiaTheme="majorEastAsia"/>
          <w:shd w:val="clear" w:color="auto" w:fill="FFFFFF"/>
        </w:rPr>
        <w:t>Primary prevention of cardiovascular disease with a Mediterranean diet</w:t>
      </w:r>
      <w:r w:rsidRPr="00AF0CED">
        <w:rPr>
          <w:shd w:val="clear" w:color="auto" w:fill="FFFFFF"/>
        </w:rPr>
        <w:t>. </w:t>
      </w:r>
      <w:r w:rsidRPr="00AF0CED">
        <w:rPr>
          <w:rStyle w:val="ref-journal"/>
          <w:rFonts w:eastAsiaTheme="majorEastAsia"/>
          <w:i/>
          <w:iCs/>
          <w:shd w:val="clear" w:color="auto" w:fill="FFFFFF"/>
        </w:rPr>
        <w:t>N Engl J Med</w:t>
      </w:r>
      <w:r w:rsidRPr="00AF0CED">
        <w:rPr>
          <w:shd w:val="clear" w:color="auto" w:fill="FFFFFF"/>
        </w:rPr>
        <w:t> </w:t>
      </w:r>
      <w:proofErr w:type="gramStart"/>
      <w:r w:rsidRPr="00AF0CED">
        <w:rPr>
          <w:shd w:val="clear" w:color="auto" w:fill="FFFFFF"/>
        </w:rPr>
        <w:t>2013;</w:t>
      </w:r>
      <w:r w:rsidRPr="00AF0CED">
        <w:rPr>
          <w:rStyle w:val="ref-vol"/>
          <w:rFonts w:eastAsiaTheme="majorEastAsia"/>
          <w:shd w:val="clear" w:color="auto" w:fill="FFFFFF"/>
        </w:rPr>
        <w:t>368</w:t>
      </w:r>
      <w:r w:rsidRPr="00AF0CED">
        <w:rPr>
          <w:shd w:val="clear" w:color="auto" w:fill="FFFFFF"/>
        </w:rPr>
        <w:t>:1279</w:t>
      </w:r>
      <w:proofErr w:type="gramEnd"/>
      <w:r w:rsidRPr="00AF0CED">
        <w:rPr>
          <w:shd w:val="clear" w:color="auto" w:fill="FFFFFF"/>
        </w:rPr>
        <w:t>–90.</w:t>
      </w:r>
    </w:p>
    <w:p w14:paraId="0D0B99F8" w14:textId="77777777" w:rsidR="002D3C02" w:rsidRPr="00AF0CED" w:rsidRDefault="002D3C02" w:rsidP="002D3C02">
      <w:pPr>
        <w:spacing w:line="360" w:lineRule="auto"/>
        <w:ind w:left="720" w:hanging="720"/>
        <w:jc w:val="both"/>
        <w:rPr>
          <w:shd w:val="clear" w:color="auto" w:fill="FFFFFF"/>
        </w:rPr>
      </w:pPr>
      <w:r w:rsidRPr="00AF0CED">
        <w:rPr>
          <w:shd w:val="clear" w:color="auto" w:fill="FFFFFF"/>
        </w:rPr>
        <w:t xml:space="preserve">Feingold KR. Introduction to Lipids and Lipoproteins. [Updated 2021 Jan 19]. In: Feingold KR, Anawalt B, Blackman MR, et al., editors. </w:t>
      </w:r>
      <w:proofErr w:type="spellStart"/>
      <w:r w:rsidRPr="00AF0CED">
        <w:rPr>
          <w:shd w:val="clear" w:color="auto" w:fill="FFFFFF"/>
        </w:rPr>
        <w:t>Endotext</w:t>
      </w:r>
      <w:proofErr w:type="spellEnd"/>
      <w:r w:rsidRPr="00AF0CED">
        <w:rPr>
          <w:shd w:val="clear" w:color="auto" w:fill="FFFFFF"/>
        </w:rPr>
        <w:t xml:space="preserve"> [Internet]. South Dartmouth (MA): MDText.com, Inc.; 2000-. </w:t>
      </w:r>
      <w:r w:rsidRPr="00AF0CED">
        <w:rPr>
          <w:rStyle w:val="bkciteavail"/>
          <w:shd w:val="clear" w:color="auto" w:fill="FFFFFF"/>
        </w:rPr>
        <w:t>Available from: https://www.ncbi.nlm.nih.gov/books/NBK305896/</w:t>
      </w:r>
    </w:p>
    <w:p w14:paraId="111E787E" w14:textId="77777777" w:rsidR="002D3C02" w:rsidRPr="00AF0CED" w:rsidRDefault="002D3C02" w:rsidP="002D3C02">
      <w:pPr>
        <w:spacing w:line="360" w:lineRule="auto"/>
        <w:ind w:left="720" w:hanging="720"/>
        <w:jc w:val="both"/>
        <w:rPr>
          <w:shd w:val="clear" w:color="auto" w:fill="FFFFFF"/>
        </w:rPr>
      </w:pPr>
      <w:r w:rsidRPr="00AF0CED">
        <w:rPr>
          <w:shd w:val="clear" w:color="auto" w:fill="FFFFFF"/>
        </w:rPr>
        <w:t xml:space="preserve">Gilchrist, M., </w:t>
      </w:r>
      <w:proofErr w:type="spellStart"/>
      <w:r w:rsidRPr="00AF0CED">
        <w:rPr>
          <w:shd w:val="clear" w:color="auto" w:fill="FFFFFF"/>
        </w:rPr>
        <w:t>Winyard</w:t>
      </w:r>
      <w:proofErr w:type="spellEnd"/>
      <w:r w:rsidRPr="00AF0CED">
        <w:rPr>
          <w:shd w:val="clear" w:color="auto" w:fill="FFFFFF"/>
        </w:rPr>
        <w:t>, P.G., Fulford, J., Anning, C., Shore, A.C. and Benjamin, N., 2014. Dietary nitrate supplementation improves reaction time in type 2 diabetes: development and application of a novel nitrate-depleted beetroot juice placebo. </w:t>
      </w:r>
      <w:r w:rsidRPr="00AF0CED">
        <w:rPr>
          <w:i/>
          <w:iCs/>
          <w:shd w:val="clear" w:color="auto" w:fill="FFFFFF"/>
        </w:rPr>
        <w:t>Nitric Oxide</w:t>
      </w:r>
      <w:r w:rsidRPr="00AF0CED">
        <w:rPr>
          <w:shd w:val="clear" w:color="auto" w:fill="FFFFFF"/>
        </w:rPr>
        <w:t>, </w:t>
      </w:r>
      <w:r w:rsidRPr="00AF0CED">
        <w:rPr>
          <w:i/>
          <w:iCs/>
          <w:shd w:val="clear" w:color="auto" w:fill="FFFFFF"/>
        </w:rPr>
        <w:t>40</w:t>
      </w:r>
      <w:r w:rsidRPr="00AF0CED">
        <w:rPr>
          <w:shd w:val="clear" w:color="auto" w:fill="FFFFFF"/>
        </w:rPr>
        <w:t>, pp.67-74.</w:t>
      </w:r>
    </w:p>
    <w:p w14:paraId="5901327E" w14:textId="77777777" w:rsidR="002D3C02" w:rsidRPr="00AF0CED" w:rsidRDefault="002D3C02" w:rsidP="002D3C02">
      <w:pPr>
        <w:spacing w:line="360" w:lineRule="auto"/>
        <w:ind w:left="720" w:hanging="720"/>
        <w:jc w:val="both"/>
      </w:pPr>
      <w:r w:rsidRPr="00AF0CED">
        <w:t xml:space="preserve">Hawkins W, Maheswaran I. The management of bariatric surgery complications. Surgery. 2019;37(10):595-9. </w:t>
      </w:r>
      <w:hyperlink r:id="rId11" w:history="1">
        <w:r w:rsidRPr="00AF0CED">
          <w:rPr>
            <w:rStyle w:val="Hyperlink"/>
          </w:rPr>
          <w:t>https://doi.org/10.1016/j.mpsur.2019.07.011</w:t>
        </w:r>
      </w:hyperlink>
    </w:p>
    <w:p w14:paraId="1DFAF8DF" w14:textId="77777777" w:rsidR="002D3C02" w:rsidRPr="00AF0CED" w:rsidRDefault="002D3C02" w:rsidP="002D3C02">
      <w:pPr>
        <w:spacing w:line="360" w:lineRule="auto"/>
        <w:ind w:left="720" w:hanging="720"/>
        <w:jc w:val="both"/>
        <w:rPr>
          <w:shd w:val="clear" w:color="auto" w:fill="FFFFFF"/>
        </w:rPr>
      </w:pPr>
      <w:proofErr w:type="spellStart"/>
      <w:r w:rsidRPr="00AF0CED">
        <w:rPr>
          <w:shd w:val="clear" w:color="auto" w:fill="FFFFFF"/>
        </w:rPr>
        <w:t>Hiyoshi</w:t>
      </w:r>
      <w:proofErr w:type="spellEnd"/>
      <w:r w:rsidRPr="00AF0CED">
        <w:rPr>
          <w:shd w:val="clear" w:color="auto" w:fill="FFFFFF"/>
        </w:rPr>
        <w:t xml:space="preserve"> T, Fujiwara M, Yao Z. Postprandial hyperglycemia and postprandial hypertriglyceridemia in type 2 diabetes. J Biomed Res. 2017 Nov 1;33(1):1–16. </w:t>
      </w:r>
      <w:proofErr w:type="spellStart"/>
      <w:r w:rsidRPr="00AF0CED">
        <w:rPr>
          <w:shd w:val="clear" w:color="auto" w:fill="FFFFFF"/>
        </w:rPr>
        <w:t>doi</w:t>
      </w:r>
      <w:proofErr w:type="spellEnd"/>
      <w:r w:rsidRPr="00AF0CED">
        <w:rPr>
          <w:shd w:val="clear" w:color="auto" w:fill="FFFFFF"/>
        </w:rPr>
        <w:t xml:space="preserve">: 10.7555/JBR.31.20160164. </w:t>
      </w:r>
      <w:proofErr w:type="spellStart"/>
      <w:r w:rsidRPr="00AF0CED">
        <w:rPr>
          <w:shd w:val="clear" w:color="auto" w:fill="FFFFFF"/>
        </w:rPr>
        <w:t>Epub</w:t>
      </w:r>
      <w:proofErr w:type="spellEnd"/>
      <w:r w:rsidRPr="00AF0CED">
        <w:rPr>
          <w:shd w:val="clear" w:color="auto" w:fill="FFFFFF"/>
        </w:rPr>
        <w:t xml:space="preserve"> ahead of print. PMID: 29089472; PMCID: PMC6352876.</w:t>
      </w:r>
    </w:p>
    <w:p w14:paraId="402A4878" w14:textId="77777777" w:rsidR="002D3C02" w:rsidRPr="00AF0CED" w:rsidRDefault="002D3C02" w:rsidP="002D3C02">
      <w:pPr>
        <w:spacing w:line="360" w:lineRule="auto"/>
        <w:ind w:left="720" w:hanging="720"/>
        <w:jc w:val="both"/>
      </w:pPr>
      <w:proofErr w:type="spellStart"/>
      <w:r w:rsidRPr="00AF0CED">
        <w:t>Hostettmann</w:t>
      </w:r>
      <w:proofErr w:type="spellEnd"/>
      <w:r w:rsidRPr="00AF0CED">
        <w:t xml:space="preserve">, K., </w:t>
      </w:r>
      <w:proofErr w:type="spellStart"/>
      <w:r w:rsidRPr="00AF0CED">
        <w:t>Hostettmann</w:t>
      </w:r>
      <w:proofErr w:type="spellEnd"/>
      <w:r w:rsidRPr="00AF0CED">
        <w:t xml:space="preserve">, M., Marston, A., 1991. Saponins, in terpenoids (Charlwood BV and DV </w:t>
      </w:r>
      <w:proofErr w:type="spellStart"/>
      <w:r w:rsidRPr="00AF0CED">
        <w:t>Banthorpe</w:t>
      </w:r>
      <w:proofErr w:type="spellEnd"/>
      <w:r w:rsidRPr="00AF0CED">
        <w:t xml:space="preserve"> (eds)). In: PM Dey and JB Harborne (eds). Methods in Plant Biochemistry vol. 7. San Diego, CA: Academic Press. pp 435–471</w:t>
      </w:r>
    </w:p>
    <w:p w14:paraId="312B0C0C" w14:textId="77777777" w:rsidR="002D3C02" w:rsidRPr="00AF0CED" w:rsidRDefault="002D3C02" w:rsidP="002D3C02">
      <w:pPr>
        <w:spacing w:line="360" w:lineRule="auto"/>
        <w:ind w:left="720" w:hanging="720"/>
        <w:jc w:val="both"/>
        <w:rPr>
          <w:rStyle w:val="nowrap"/>
          <w:rFonts w:eastAsiaTheme="majorEastAsia"/>
          <w:shd w:val="clear" w:color="auto" w:fill="FFFFFF"/>
        </w:rPr>
      </w:pPr>
      <w:proofErr w:type="spellStart"/>
      <w:r w:rsidRPr="00AF0CED">
        <w:rPr>
          <w:rStyle w:val="element-citation"/>
          <w:rFonts w:eastAsiaTheme="majorEastAsia"/>
          <w:shd w:val="clear" w:color="auto" w:fill="FFFFFF"/>
        </w:rPr>
        <w:t>Irondi</w:t>
      </w:r>
      <w:proofErr w:type="spellEnd"/>
      <w:r w:rsidRPr="00AF0CED">
        <w:rPr>
          <w:rStyle w:val="element-citation"/>
          <w:rFonts w:eastAsiaTheme="majorEastAsia"/>
          <w:shd w:val="clear" w:color="auto" w:fill="FFFFFF"/>
        </w:rPr>
        <w:t xml:space="preserve"> E.A., Akintunde J.K., </w:t>
      </w:r>
      <w:proofErr w:type="spellStart"/>
      <w:r w:rsidRPr="00AF0CED">
        <w:rPr>
          <w:rStyle w:val="element-citation"/>
          <w:rFonts w:eastAsiaTheme="majorEastAsia"/>
          <w:shd w:val="clear" w:color="auto" w:fill="FFFFFF"/>
        </w:rPr>
        <w:t>Agboola</w:t>
      </w:r>
      <w:proofErr w:type="spellEnd"/>
      <w:r w:rsidRPr="00AF0CED">
        <w:rPr>
          <w:rStyle w:val="element-citation"/>
          <w:rFonts w:eastAsiaTheme="majorEastAsia"/>
          <w:shd w:val="clear" w:color="auto" w:fill="FFFFFF"/>
        </w:rPr>
        <w:t xml:space="preserve"> S.O., </w:t>
      </w:r>
      <w:proofErr w:type="spellStart"/>
      <w:r w:rsidRPr="00AF0CED">
        <w:rPr>
          <w:rStyle w:val="element-citation"/>
          <w:rFonts w:eastAsiaTheme="majorEastAsia"/>
          <w:shd w:val="clear" w:color="auto" w:fill="FFFFFF"/>
        </w:rPr>
        <w:t>Boligon</w:t>
      </w:r>
      <w:proofErr w:type="spellEnd"/>
      <w:r w:rsidRPr="00AF0CED">
        <w:rPr>
          <w:rStyle w:val="element-citation"/>
          <w:rFonts w:eastAsiaTheme="majorEastAsia"/>
          <w:shd w:val="clear" w:color="auto" w:fill="FFFFFF"/>
        </w:rPr>
        <w:t xml:space="preserve"> A.A., </w:t>
      </w:r>
      <w:proofErr w:type="spellStart"/>
      <w:r w:rsidRPr="00AF0CED">
        <w:rPr>
          <w:rStyle w:val="element-citation"/>
          <w:rFonts w:eastAsiaTheme="majorEastAsia"/>
          <w:shd w:val="clear" w:color="auto" w:fill="FFFFFF"/>
        </w:rPr>
        <w:t>Athayde</w:t>
      </w:r>
      <w:proofErr w:type="spellEnd"/>
      <w:r w:rsidRPr="00AF0CED">
        <w:rPr>
          <w:rStyle w:val="element-citation"/>
          <w:rFonts w:eastAsiaTheme="majorEastAsia"/>
          <w:shd w:val="clear" w:color="auto" w:fill="FFFFFF"/>
        </w:rPr>
        <w:t xml:space="preserve"> M.L. (2017): Blanching influences the phenolics composition, antioxidant activity, and inhibitory effect </w:t>
      </w:r>
      <w:r w:rsidRPr="00AF0CED">
        <w:rPr>
          <w:rStyle w:val="element-citation"/>
          <w:rFonts w:eastAsiaTheme="majorEastAsia"/>
          <w:shd w:val="clear" w:color="auto" w:fill="FFFFFF"/>
        </w:rPr>
        <w:lastRenderedPageBreak/>
        <w:t>of </w:t>
      </w:r>
      <w:r w:rsidRPr="00AF0CED">
        <w:rPr>
          <w:rStyle w:val="Emphasis"/>
          <w:rFonts w:eastAsiaTheme="majorEastAsia"/>
          <w:shd w:val="clear" w:color="auto" w:fill="FFFFFF"/>
        </w:rPr>
        <w:t>Adansonia digitata</w:t>
      </w:r>
      <w:r w:rsidRPr="00AF0CED">
        <w:rPr>
          <w:rStyle w:val="element-citation"/>
          <w:rFonts w:eastAsiaTheme="majorEastAsia"/>
          <w:shd w:val="clear" w:color="auto" w:fill="FFFFFF"/>
        </w:rPr>
        <w:t> leaves extract on α-amylase, α-glucosidase, and aldose reductase. </w:t>
      </w:r>
      <w:r w:rsidRPr="00AF0CED">
        <w:rPr>
          <w:rStyle w:val="ref-journal"/>
          <w:rFonts w:eastAsiaTheme="majorEastAsia"/>
          <w:shd w:val="clear" w:color="auto" w:fill="FFFFFF"/>
        </w:rPr>
        <w:t>Food Sci. Nutr.</w:t>
      </w:r>
      <w:r w:rsidRPr="00AF0CED">
        <w:rPr>
          <w:rStyle w:val="ref-vol"/>
          <w:rFonts w:eastAsiaTheme="majorEastAsia"/>
          <w:shd w:val="clear" w:color="auto" w:fill="FFFFFF"/>
        </w:rPr>
        <w:t>5</w:t>
      </w:r>
      <w:r w:rsidRPr="00AF0CED">
        <w:rPr>
          <w:rStyle w:val="element-citation"/>
          <w:rFonts w:eastAsiaTheme="majorEastAsia"/>
          <w:shd w:val="clear" w:color="auto" w:fill="FFFFFF"/>
        </w:rPr>
        <w:t xml:space="preserve">:233–242. </w:t>
      </w:r>
    </w:p>
    <w:p w14:paraId="5B79E3C7" w14:textId="77777777" w:rsidR="002D3C02" w:rsidRPr="00AF0CED" w:rsidRDefault="002D3C02" w:rsidP="002D3C02">
      <w:pPr>
        <w:spacing w:line="360" w:lineRule="auto"/>
        <w:ind w:left="720" w:hanging="720"/>
        <w:jc w:val="both"/>
      </w:pPr>
      <w:r w:rsidRPr="00AF0CED">
        <w:rPr>
          <w:shd w:val="clear" w:color="auto" w:fill="FFFFFF"/>
        </w:rPr>
        <w:t xml:space="preserve">Jayaraj S., Suresh S., </w:t>
      </w:r>
      <w:proofErr w:type="spellStart"/>
      <w:r w:rsidRPr="00AF0CED">
        <w:rPr>
          <w:shd w:val="clear" w:color="auto" w:fill="FFFFFF"/>
        </w:rPr>
        <w:t>Kadeppagari</w:t>
      </w:r>
      <w:proofErr w:type="spellEnd"/>
      <w:r w:rsidRPr="00AF0CED">
        <w:rPr>
          <w:shd w:val="clear" w:color="auto" w:fill="FFFFFF"/>
        </w:rPr>
        <w:t xml:space="preserve"> R.-K. Amylase inhibitors and their biomedical applications. </w:t>
      </w:r>
      <w:r w:rsidRPr="00AF0CED">
        <w:rPr>
          <w:rStyle w:val="Emphasis"/>
          <w:rFonts w:eastAsiaTheme="majorEastAsia"/>
          <w:shd w:val="clear" w:color="auto" w:fill="FFFFFF"/>
        </w:rPr>
        <w:t>Starch/</w:t>
      </w:r>
      <w:proofErr w:type="spellStart"/>
      <w:r w:rsidRPr="00AF0CED">
        <w:rPr>
          <w:rStyle w:val="Emphasis"/>
          <w:rFonts w:eastAsiaTheme="majorEastAsia"/>
          <w:shd w:val="clear" w:color="auto" w:fill="FFFFFF"/>
        </w:rPr>
        <w:t>Staerke</w:t>
      </w:r>
      <w:proofErr w:type="spellEnd"/>
      <w:r w:rsidRPr="00AF0CED">
        <w:rPr>
          <w:rStyle w:val="ref-journal"/>
          <w:rFonts w:eastAsiaTheme="majorEastAsia"/>
          <w:i/>
          <w:iCs/>
          <w:shd w:val="clear" w:color="auto" w:fill="FFFFFF"/>
        </w:rPr>
        <w:t>. </w:t>
      </w:r>
      <w:r w:rsidRPr="00AF0CED">
        <w:rPr>
          <w:shd w:val="clear" w:color="auto" w:fill="FFFFFF"/>
        </w:rPr>
        <w:t>2013;</w:t>
      </w:r>
      <w:r w:rsidRPr="00AF0CED">
        <w:rPr>
          <w:rStyle w:val="ref-vol"/>
          <w:rFonts w:eastAsiaTheme="majorEastAsia"/>
          <w:shd w:val="clear" w:color="auto" w:fill="FFFFFF"/>
        </w:rPr>
        <w:t>65</w:t>
      </w:r>
      <w:r w:rsidRPr="00AF0CED">
        <w:rPr>
          <w:shd w:val="clear" w:color="auto" w:fill="FFFFFF"/>
        </w:rPr>
        <w:t xml:space="preserve">(7-8):535–542. </w:t>
      </w:r>
      <w:proofErr w:type="spellStart"/>
      <w:r w:rsidRPr="00AF0CED">
        <w:rPr>
          <w:shd w:val="clear" w:color="auto" w:fill="FFFFFF"/>
        </w:rPr>
        <w:t>doi</w:t>
      </w:r>
      <w:proofErr w:type="spellEnd"/>
      <w:r w:rsidRPr="00AF0CED">
        <w:rPr>
          <w:shd w:val="clear" w:color="auto" w:fill="FFFFFF"/>
        </w:rPr>
        <w:t>: 10.1002/star.201200194</w:t>
      </w:r>
      <w:r w:rsidRPr="00AF0CED">
        <w:t xml:space="preserve"> </w:t>
      </w:r>
    </w:p>
    <w:p w14:paraId="6E2424B4" w14:textId="77777777" w:rsidR="002D3C02" w:rsidRPr="00AF0CED" w:rsidRDefault="002D3C02" w:rsidP="002D3C02">
      <w:pPr>
        <w:spacing w:line="360" w:lineRule="auto"/>
        <w:ind w:left="720" w:hanging="720"/>
        <w:jc w:val="both"/>
        <w:rPr>
          <w:lang w:val="fr-FR"/>
        </w:rPr>
      </w:pPr>
      <w:r w:rsidRPr="00AF0CED">
        <w:t xml:space="preserve">Jegede, I.A., J.A. Ibrahim and O.F. Kunle. (2011). Phytochemical and </w:t>
      </w:r>
      <w:proofErr w:type="spellStart"/>
      <w:r w:rsidRPr="00AF0CED">
        <w:t>pharmocognostic</w:t>
      </w:r>
      <w:proofErr w:type="spellEnd"/>
      <w:r w:rsidRPr="00AF0CED">
        <w:t xml:space="preserve"> studies of the leaf and stem-bark of </w:t>
      </w:r>
      <w:proofErr w:type="spellStart"/>
      <w:r w:rsidRPr="00AF0CED">
        <w:t>Anthocleista</w:t>
      </w:r>
      <w:proofErr w:type="spellEnd"/>
      <w:r w:rsidRPr="00AF0CED">
        <w:t xml:space="preserve"> </w:t>
      </w:r>
      <w:proofErr w:type="spellStart"/>
      <w:r w:rsidRPr="00AF0CED">
        <w:t>vogelii</w:t>
      </w:r>
      <w:proofErr w:type="spellEnd"/>
      <w:r w:rsidRPr="00AF0CED">
        <w:t xml:space="preserve"> (Planch). </w:t>
      </w:r>
      <w:r w:rsidRPr="00AF0CED">
        <w:rPr>
          <w:lang w:val="fr-FR"/>
        </w:rPr>
        <w:t xml:space="preserve">J. Med. Plants </w:t>
      </w:r>
      <w:proofErr w:type="spellStart"/>
      <w:proofErr w:type="gramStart"/>
      <w:r w:rsidRPr="00AF0CED">
        <w:rPr>
          <w:lang w:val="fr-FR"/>
        </w:rPr>
        <w:t>Res</w:t>
      </w:r>
      <w:proofErr w:type="spellEnd"/>
      <w:r w:rsidRPr="00AF0CED">
        <w:rPr>
          <w:lang w:val="fr-FR"/>
        </w:rPr>
        <w:t>;</w:t>
      </w:r>
      <w:proofErr w:type="gramEnd"/>
      <w:r w:rsidRPr="00AF0CED">
        <w:rPr>
          <w:lang w:val="fr-FR"/>
        </w:rPr>
        <w:t xml:space="preserve"> 5: 6136-6139.</w:t>
      </w:r>
    </w:p>
    <w:p w14:paraId="7BA0FE4E" w14:textId="77777777" w:rsidR="002D3C02" w:rsidRPr="00AF0CED" w:rsidRDefault="002D3C02" w:rsidP="002D3C02">
      <w:pPr>
        <w:pStyle w:val="NormalWeb"/>
        <w:shd w:val="clear" w:color="auto" w:fill="FFFFFF"/>
        <w:spacing w:before="0" w:beforeAutospacing="0" w:after="0" w:afterAutospacing="0" w:line="360" w:lineRule="auto"/>
        <w:ind w:left="720" w:hanging="720"/>
        <w:jc w:val="both"/>
        <w:rPr>
          <w:shd w:val="clear" w:color="auto" w:fill="FCFCFC"/>
        </w:rPr>
      </w:pPr>
      <w:proofErr w:type="spellStart"/>
      <w:r w:rsidRPr="00AF0CED">
        <w:rPr>
          <w:shd w:val="clear" w:color="auto" w:fill="FCFCFC"/>
          <w:lang w:val="fr-FR"/>
        </w:rPr>
        <w:t>Khadayat</w:t>
      </w:r>
      <w:proofErr w:type="spellEnd"/>
      <w:r w:rsidRPr="00AF0CED">
        <w:rPr>
          <w:shd w:val="clear" w:color="auto" w:fill="FCFCFC"/>
          <w:lang w:val="fr-FR"/>
        </w:rPr>
        <w:t xml:space="preserve">, K., </w:t>
      </w:r>
      <w:proofErr w:type="spellStart"/>
      <w:r w:rsidRPr="00AF0CED">
        <w:rPr>
          <w:shd w:val="clear" w:color="auto" w:fill="FCFCFC"/>
          <w:lang w:val="fr-FR"/>
        </w:rPr>
        <w:t>Marasini</w:t>
      </w:r>
      <w:proofErr w:type="spellEnd"/>
      <w:r w:rsidRPr="00AF0CED">
        <w:rPr>
          <w:shd w:val="clear" w:color="auto" w:fill="FCFCFC"/>
          <w:lang w:val="fr-FR"/>
        </w:rPr>
        <w:t>, B.P., Gautam, H. </w:t>
      </w:r>
      <w:r w:rsidRPr="00AF0CED">
        <w:rPr>
          <w:i/>
          <w:iCs/>
          <w:shd w:val="clear" w:color="auto" w:fill="FCFCFC"/>
          <w:lang w:val="fr-FR"/>
        </w:rPr>
        <w:t>et al.</w:t>
      </w:r>
      <w:r w:rsidRPr="00AF0CED">
        <w:rPr>
          <w:shd w:val="clear" w:color="auto" w:fill="FCFCFC"/>
          <w:lang w:val="fr-FR"/>
        </w:rPr>
        <w:t> </w:t>
      </w:r>
      <w:r w:rsidRPr="00AF0CED">
        <w:rPr>
          <w:shd w:val="clear" w:color="auto" w:fill="FCFCFC"/>
        </w:rPr>
        <w:t>Evaluation of the alpha-amylase inhibitory activity of Nepalese medicinal plants used in the treatment of diabetes mellitus. </w:t>
      </w:r>
      <w:r w:rsidRPr="00AF0CED">
        <w:rPr>
          <w:i/>
          <w:iCs/>
          <w:shd w:val="clear" w:color="auto" w:fill="FCFCFC"/>
        </w:rPr>
        <w:t xml:space="preserve">Clin </w:t>
      </w:r>
      <w:proofErr w:type="spellStart"/>
      <w:r w:rsidRPr="00AF0CED">
        <w:rPr>
          <w:i/>
          <w:iCs/>
          <w:shd w:val="clear" w:color="auto" w:fill="FCFCFC"/>
        </w:rPr>
        <w:t>Phytosci</w:t>
      </w:r>
      <w:proofErr w:type="spellEnd"/>
      <w:r w:rsidRPr="00AF0CED">
        <w:rPr>
          <w:shd w:val="clear" w:color="auto" w:fill="FCFCFC"/>
        </w:rPr>
        <w:t> </w:t>
      </w:r>
      <w:r w:rsidRPr="00AF0CED">
        <w:rPr>
          <w:b/>
          <w:bCs/>
          <w:shd w:val="clear" w:color="auto" w:fill="FCFCFC"/>
        </w:rPr>
        <w:t>6</w:t>
      </w:r>
      <w:r w:rsidRPr="00AF0CED">
        <w:rPr>
          <w:shd w:val="clear" w:color="auto" w:fill="FCFCFC"/>
        </w:rPr>
        <w:t xml:space="preserve">, 34 (2020). </w:t>
      </w:r>
      <w:hyperlink r:id="rId12" w:history="1">
        <w:r w:rsidRPr="00AF0CED">
          <w:rPr>
            <w:rStyle w:val="Hyperlink"/>
            <w:shd w:val="clear" w:color="auto" w:fill="FCFCFC"/>
          </w:rPr>
          <w:t>https://doi.org/10.1186/s40816-020-00179-8</w:t>
        </w:r>
      </w:hyperlink>
    </w:p>
    <w:p w14:paraId="6A48EC59" w14:textId="77777777" w:rsidR="002D3C02" w:rsidRPr="00AF0CED" w:rsidRDefault="002D3C02" w:rsidP="002D3C02">
      <w:pPr>
        <w:spacing w:line="360" w:lineRule="auto"/>
        <w:ind w:left="720" w:hanging="720"/>
        <w:jc w:val="both"/>
        <w:rPr>
          <w:shd w:val="clear" w:color="auto" w:fill="FFFFFF"/>
        </w:rPr>
      </w:pPr>
      <w:proofErr w:type="spellStart"/>
      <w:r w:rsidRPr="00AF0CED">
        <w:rPr>
          <w:shd w:val="clear" w:color="auto" w:fill="FFFFFF"/>
        </w:rPr>
        <w:t>Kwiterovich</w:t>
      </w:r>
      <w:proofErr w:type="spellEnd"/>
      <w:r w:rsidRPr="00AF0CED">
        <w:rPr>
          <w:shd w:val="clear" w:color="auto" w:fill="FFFFFF"/>
        </w:rPr>
        <w:t xml:space="preserve"> PO Jr. 1998. The antiatherogenic role of high-density lipoprotein cholesterol. Am J </w:t>
      </w:r>
      <w:proofErr w:type="spellStart"/>
      <w:r w:rsidRPr="00AF0CED">
        <w:rPr>
          <w:shd w:val="clear" w:color="auto" w:fill="FFFFFF"/>
        </w:rPr>
        <w:t>Cardiol</w:t>
      </w:r>
      <w:proofErr w:type="spellEnd"/>
      <w:r w:rsidRPr="00AF0CED">
        <w:rPr>
          <w:shd w:val="clear" w:color="auto" w:fill="FFFFFF"/>
        </w:rPr>
        <w:t xml:space="preserve">. 5;82(9A):13Q-21Q. </w:t>
      </w:r>
      <w:proofErr w:type="spellStart"/>
      <w:r w:rsidRPr="00AF0CED">
        <w:rPr>
          <w:shd w:val="clear" w:color="auto" w:fill="FFFFFF"/>
        </w:rPr>
        <w:t>doi</w:t>
      </w:r>
      <w:proofErr w:type="spellEnd"/>
      <w:r w:rsidRPr="00AF0CED">
        <w:rPr>
          <w:shd w:val="clear" w:color="auto" w:fill="FFFFFF"/>
        </w:rPr>
        <w:t>: 10.1016/s0002-9149(98)00808-x. PMID: 9819099.</w:t>
      </w:r>
    </w:p>
    <w:p w14:paraId="0A9FEF79" w14:textId="77777777" w:rsidR="002D3C02" w:rsidRPr="00AF0CED" w:rsidRDefault="002D3C02" w:rsidP="002D3C02">
      <w:pPr>
        <w:spacing w:line="360" w:lineRule="auto"/>
        <w:ind w:left="720" w:hanging="720"/>
        <w:jc w:val="both"/>
      </w:pPr>
      <w:r w:rsidRPr="00AF0CED">
        <w:rPr>
          <w:shd w:val="clear" w:color="auto" w:fill="FFFFFF"/>
        </w:rPr>
        <w:t xml:space="preserve">Li, X.N., Sun, J., Shi, H., Yu, L.L., Ridge, C.D., Mazzola, E.P., </w:t>
      </w:r>
      <w:proofErr w:type="spellStart"/>
      <w:r w:rsidRPr="00AF0CED">
        <w:rPr>
          <w:shd w:val="clear" w:color="auto" w:fill="FFFFFF"/>
        </w:rPr>
        <w:t>Okunji</w:t>
      </w:r>
      <w:proofErr w:type="spellEnd"/>
      <w:r w:rsidRPr="00AF0CED">
        <w:rPr>
          <w:shd w:val="clear" w:color="auto" w:fill="FFFFFF"/>
        </w:rPr>
        <w:t>, C., Iwu, M.M., Michel, T.K. and Chen, P., 2017. Profiling hydroxycinnamic acid glycosides, iridoid glycosides, and phenylethanoid glycosides in baobab fruit pulp (Adansonia digitata). </w:t>
      </w:r>
      <w:r w:rsidRPr="00AF0CED">
        <w:rPr>
          <w:i/>
          <w:iCs/>
          <w:shd w:val="clear" w:color="auto" w:fill="FFFFFF"/>
        </w:rPr>
        <w:t>Food Research International</w:t>
      </w:r>
      <w:r w:rsidRPr="00AF0CED">
        <w:rPr>
          <w:shd w:val="clear" w:color="auto" w:fill="FFFFFF"/>
        </w:rPr>
        <w:t>, </w:t>
      </w:r>
      <w:r w:rsidRPr="00AF0CED">
        <w:rPr>
          <w:i/>
          <w:iCs/>
          <w:shd w:val="clear" w:color="auto" w:fill="FFFFFF"/>
        </w:rPr>
        <w:t>99</w:t>
      </w:r>
      <w:r w:rsidRPr="00AF0CED">
        <w:rPr>
          <w:shd w:val="clear" w:color="auto" w:fill="FFFFFF"/>
        </w:rPr>
        <w:t>, pp.755-761.</w:t>
      </w:r>
    </w:p>
    <w:p w14:paraId="34B29FF8" w14:textId="77777777" w:rsidR="002D3C02" w:rsidRPr="00AF0CED" w:rsidRDefault="002D3C02" w:rsidP="002D3C02">
      <w:pPr>
        <w:spacing w:line="360" w:lineRule="auto"/>
        <w:ind w:left="720" w:hanging="720"/>
        <w:jc w:val="both"/>
      </w:pPr>
      <w:r w:rsidRPr="00AF0CED">
        <w:rPr>
          <w:shd w:val="clear" w:color="auto" w:fill="FFFFFF"/>
        </w:rPr>
        <w:t xml:space="preserve">Linton MRF, Yancey PG, Davies SS, et al. The Role of Lipids and Lipoproteins in Atherosclerosis. [Updated 2019 Jan 3]. In: Feingold KR, Anawalt B, Blackman MR, et al., editors. </w:t>
      </w:r>
      <w:proofErr w:type="spellStart"/>
      <w:r w:rsidRPr="00AF0CED">
        <w:rPr>
          <w:shd w:val="clear" w:color="auto" w:fill="FFFFFF"/>
        </w:rPr>
        <w:t>Endotext</w:t>
      </w:r>
      <w:proofErr w:type="spellEnd"/>
      <w:r w:rsidRPr="00AF0CED">
        <w:rPr>
          <w:shd w:val="clear" w:color="auto" w:fill="FFFFFF"/>
        </w:rPr>
        <w:t xml:space="preserve"> [Internet]. South Dartmouth (MA): MDText.com, Inc.; 2000-. </w:t>
      </w:r>
      <w:r w:rsidRPr="00AF0CED">
        <w:rPr>
          <w:rStyle w:val="bkciteavail"/>
          <w:shd w:val="clear" w:color="auto" w:fill="FFFFFF"/>
        </w:rPr>
        <w:t>Available from: https://www.ncbi.nlm.nih.gov/books/NBK343489/</w:t>
      </w:r>
    </w:p>
    <w:p w14:paraId="43AFAA9C" w14:textId="77777777" w:rsidR="002D3C02" w:rsidRPr="00AF0CED" w:rsidRDefault="002D3C02" w:rsidP="002D3C02">
      <w:pPr>
        <w:spacing w:line="360" w:lineRule="auto"/>
        <w:ind w:left="720" w:hanging="720"/>
        <w:jc w:val="both"/>
      </w:pPr>
      <w:proofErr w:type="spellStart"/>
      <w:r w:rsidRPr="00AF0CED">
        <w:rPr>
          <w:shd w:val="clear" w:color="auto" w:fill="FFFFFF"/>
        </w:rPr>
        <w:t>Mahdy</w:t>
      </w:r>
      <w:proofErr w:type="spellEnd"/>
      <w:r w:rsidRPr="00AF0CED">
        <w:rPr>
          <w:shd w:val="clear" w:color="auto" w:fill="FFFFFF"/>
        </w:rPr>
        <w:t xml:space="preserve"> Ali K, </w:t>
      </w:r>
      <w:proofErr w:type="spellStart"/>
      <w:r w:rsidRPr="00AF0CED">
        <w:rPr>
          <w:shd w:val="clear" w:color="auto" w:fill="FFFFFF"/>
        </w:rPr>
        <w:t>Wonnerth</w:t>
      </w:r>
      <w:proofErr w:type="spellEnd"/>
      <w:r w:rsidRPr="00AF0CED">
        <w:rPr>
          <w:shd w:val="clear" w:color="auto" w:fill="FFFFFF"/>
        </w:rPr>
        <w:t xml:space="preserve"> A, Huber K, Wojta J. Cardiovascular disease risk reduction by raising HDL cholesterol--current therapies and future opportunities. Br J Pharmacol. 2012 Nov;167(6):1177-94. </w:t>
      </w:r>
      <w:proofErr w:type="spellStart"/>
      <w:r w:rsidRPr="00AF0CED">
        <w:rPr>
          <w:shd w:val="clear" w:color="auto" w:fill="FFFFFF"/>
        </w:rPr>
        <w:t>doi</w:t>
      </w:r>
      <w:proofErr w:type="spellEnd"/>
      <w:r w:rsidRPr="00AF0CED">
        <w:rPr>
          <w:shd w:val="clear" w:color="auto" w:fill="FFFFFF"/>
        </w:rPr>
        <w:t>: 10.1111/j.1476-5381.2012.</w:t>
      </w:r>
      <w:proofErr w:type="gramStart"/>
      <w:r w:rsidRPr="00AF0CED">
        <w:rPr>
          <w:shd w:val="clear" w:color="auto" w:fill="FFFFFF"/>
        </w:rPr>
        <w:t>02081.x.</w:t>
      </w:r>
      <w:proofErr w:type="gramEnd"/>
      <w:r w:rsidRPr="00AF0CED">
        <w:rPr>
          <w:shd w:val="clear" w:color="auto" w:fill="FFFFFF"/>
        </w:rPr>
        <w:t xml:space="preserve"> PMID: 22725625; PMCID: PMC3504986.</w:t>
      </w:r>
    </w:p>
    <w:p w14:paraId="45310162" w14:textId="77777777" w:rsidR="002D3C02" w:rsidRPr="00AF0CED" w:rsidRDefault="002D3C02" w:rsidP="002D3C02">
      <w:pPr>
        <w:spacing w:line="360" w:lineRule="auto"/>
        <w:ind w:left="720" w:hanging="720"/>
        <w:jc w:val="both"/>
        <w:rPr>
          <w:shd w:val="clear" w:color="auto" w:fill="F7F7F7"/>
        </w:rPr>
      </w:pPr>
      <w:r w:rsidRPr="00AF0CED">
        <w:rPr>
          <w:shd w:val="clear" w:color="auto" w:fill="F7F7F7"/>
        </w:rPr>
        <w:t>Miller, R., and Lowe, M. E. (2008). Carboxyl ester lipase from either mother’s milk or the pancreas is required for efficient dietary triglyceride digestion in suckling mice. </w:t>
      </w:r>
      <w:r w:rsidRPr="00AF0CED">
        <w:rPr>
          <w:i/>
          <w:iCs/>
          <w:shd w:val="clear" w:color="auto" w:fill="F7F7F7"/>
        </w:rPr>
        <w:t xml:space="preserve">J. </w:t>
      </w:r>
      <w:proofErr w:type="spellStart"/>
      <w:r w:rsidRPr="00AF0CED">
        <w:rPr>
          <w:i/>
          <w:iCs/>
          <w:shd w:val="clear" w:color="auto" w:fill="F7F7F7"/>
        </w:rPr>
        <w:t>Nutr</w:t>
      </w:r>
      <w:proofErr w:type="spellEnd"/>
      <w:r w:rsidRPr="00AF0CED">
        <w:rPr>
          <w:shd w:val="clear" w:color="auto" w:fill="F7F7F7"/>
        </w:rPr>
        <w:t xml:space="preserve">. 138, 927–930. </w:t>
      </w:r>
      <w:proofErr w:type="spellStart"/>
      <w:r w:rsidRPr="00AF0CED">
        <w:rPr>
          <w:shd w:val="clear" w:color="auto" w:fill="F7F7F7"/>
        </w:rPr>
        <w:t>doi</w:t>
      </w:r>
      <w:proofErr w:type="spellEnd"/>
      <w:r w:rsidRPr="00AF0CED">
        <w:rPr>
          <w:shd w:val="clear" w:color="auto" w:fill="F7F7F7"/>
        </w:rPr>
        <w:t>: 10.1093/</w:t>
      </w:r>
      <w:proofErr w:type="spellStart"/>
      <w:r w:rsidRPr="00AF0CED">
        <w:rPr>
          <w:shd w:val="clear" w:color="auto" w:fill="F7F7F7"/>
        </w:rPr>
        <w:t>jn</w:t>
      </w:r>
      <w:proofErr w:type="spellEnd"/>
      <w:r w:rsidRPr="00AF0CED">
        <w:rPr>
          <w:shd w:val="clear" w:color="auto" w:fill="F7F7F7"/>
        </w:rPr>
        <w:t>/138.5.927</w:t>
      </w:r>
    </w:p>
    <w:p w14:paraId="040ED6DC" w14:textId="77777777" w:rsidR="002D3C02" w:rsidRPr="00AF0CED" w:rsidRDefault="002D3C02" w:rsidP="002D3C02">
      <w:pPr>
        <w:shd w:val="clear" w:color="auto" w:fill="FFFFFF"/>
        <w:spacing w:after="166" w:line="360" w:lineRule="auto"/>
        <w:ind w:left="720" w:hanging="720"/>
        <w:jc w:val="both"/>
      </w:pPr>
      <w:r w:rsidRPr="00AF0CED">
        <w:t>Mohammed A, Tanko Y, Okasha MA, Magaji RA, Yaro AH. (2007): Effects of aqueous leaves extract of </w:t>
      </w:r>
      <w:proofErr w:type="spellStart"/>
      <w:r w:rsidRPr="00AF0CED">
        <w:rPr>
          <w:i/>
          <w:iCs/>
        </w:rPr>
        <w:t>Ocimum</w:t>
      </w:r>
      <w:proofErr w:type="spellEnd"/>
      <w:r w:rsidRPr="00AF0CED">
        <w:rPr>
          <w:i/>
          <w:iCs/>
        </w:rPr>
        <w:t xml:space="preserve"> </w:t>
      </w:r>
      <w:proofErr w:type="spellStart"/>
      <w:r w:rsidRPr="00AF0CED">
        <w:rPr>
          <w:i/>
          <w:iCs/>
        </w:rPr>
        <w:t>gratissimum</w:t>
      </w:r>
      <w:proofErr w:type="spellEnd"/>
      <w:r w:rsidRPr="00AF0CED">
        <w:t> on blood glucose levels of streptozotocin induced diabetic Wistar rats. </w:t>
      </w:r>
      <w:proofErr w:type="spellStart"/>
      <w:r w:rsidRPr="00AF0CED">
        <w:t>Afr</w:t>
      </w:r>
      <w:proofErr w:type="spellEnd"/>
      <w:r w:rsidRPr="00AF0CED">
        <w:t xml:space="preserve"> J </w:t>
      </w:r>
      <w:proofErr w:type="spellStart"/>
      <w:r w:rsidRPr="00AF0CED">
        <w:t>Biotechnol</w:t>
      </w:r>
      <w:proofErr w:type="spellEnd"/>
      <w:r w:rsidRPr="00AF0CED">
        <w:t>. 6:2087–90. </w:t>
      </w:r>
    </w:p>
    <w:p w14:paraId="4855699F" w14:textId="77777777" w:rsidR="002D3C02" w:rsidRPr="00AF0CED" w:rsidRDefault="002D3C02" w:rsidP="002D3C02">
      <w:pPr>
        <w:spacing w:line="360" w:lineRule="auto"/>
        <w:ind w:left="720" w:hanging="720"/>
        <w:jc w:val="both"/>
      </w:pPr>
      <w:r w:rsidRPr="00AF0CED">
        <w:t xml:space="preserve">Moro, C.O., </w:t>
      </w:r>
      <w:proofErr w:type="spellStart"/>
      <w:r w:rsidRPr="00AF0CED">
        <w:t>Basile.G</w:t>
      </w:r>
      <w:proofErr w:type="spellEnd"/>
      <w:r w:rsidRPr="00AF0CED">
        <w:t xml:space="preserve">. 2000. Obesity and medicinal plants, </w:t>
      </w:r>
      <w:proofErr w:type="spellStart"/>
      <w:r w:rsidRPr="00AF0CED">
        <w:t>Fitoterapia</w:t>
      </w:r>
      <w:proofErr w:type="spellEnd"/>
      <w:r w:rsidRPr="00AF0CED">
        <w:t xml:space="preserve">, Volume 71, Supplement 1, Pages S73-S82. ISSN 0367-326X. </w:t>
      </w:r>
      <w:hyperlink r:id="rId13" w:history="1">
        <w:r w:rsidRPr="00AF0CED">
          <w:rPr>
            <w:rStyle w:val="Hyperlink"/>
          </w:rPr>
          <w:t>https://doi.org/10.1016/S0367-326X(00)00177-5</w:t>
        </w:r>
      </w:hyperlink>
      <w:r w:rsidRPr="00AF0CED">
        <w:t>.</w:t>
      </w:r>
    </w:p>
    <w:p w14:paraId="0FC1DF58" w14:textId="77777777" w:rsidR="002D3C02" w:rsidRPr="00AF0CED" w:rsidRDefault="002D3C02" w:rsidP="002D3C02">
      <w:pPr>
        <w:spacing w:line="360" w:lineRule="auto"/>
        <w:ind w:left="720" w:hanging="720"/>
        <w:jc w:val="both"/>
        <w:rPr>
          <w:shd w:val="clear" w:color="auto" w:fill="FFFFFF"/>
        </w:rPr>
      </w:pPr>
      <w:proofErr w:type="spellStart"/>
      <w:r w:rsidRPr="00AF0CED">
        <w:rPr>
          <w:shd w:val="clear" w:color="auto" w:fill="FFFFFF"/>
        </w:rPr>
        <w:lastRenderedPageBreak/>
        <w:t>Ninfali</w:t>
      </w:r>
      <w:proofErr w:type="spellEnd"/>
      <w:r w:rsidRPr="00AF0CED">
        <w:rPr>
          <w:shd w:val="clear" w:color="auto" w:fill="FFFFFF"/>
        </w:rPr>
        <w:t>, P. and Angelino, D., 2013. Nutritional and functional potential of Beta vulgaris cicla and rubra. </w:t>
      </w:r>
      <w:proofErr w:type="spellStart"/>
      <w:r w:rsidRPr="00AF0CED">
        <w:rPr>
          <w:i/>
          <w:iCs/>
          <w:shd w:val="clear" w:color="auto" w:fill="FFFFFF"/>
        </w:rPr>
        <w:t>Fitoterapia</w:t>
      </w:r>
      <w:proofErr w:type="spellEnd"/>
      <w:r w:rsidRPr="00AF0CED">
        <w:rPr>
          <w:shd w:val="clear" w:color="auto" w:fill="FFFFFF"/>
        </w:rPr>
        <w:t>, </w:t>
      </w:r>
      <w:r w:rsidRPr="00AF0CED">
        <w:rPr>
          <w:i/>
          <w:iCs/>
          <w:shd w:val="clear" w:color="auto" w:fill="FFFFFF"/>
        </w:rPr>
        <w:t>89</w:t>
      </w:r>
      <w:r w:rsidRPr="00AF0CED">
        <w:rPr>
          <w:shd w:val="clear" w:color="auto" w:fill="FFFFFF"/>
        </w:rPr>
        <w:t>, pp.188-199.</w:t>
      </w:r>
    </w:p>
    <w:p w14:paraId="1BA1D9A2" w14:textId="77777777" w:rsidR="002D3C02" w:rsidRPr="00AF0CED" w:rsidRDefault="002D3C02" w:rsidP="002D3C02">
      <w:pPr>
        <w:spacing w:line="360" w:lineRule="auto"/>
        <w:ind w:left="720" w:hanging="720"/>
        <w:jc w:val="both"/>
      </w:pPr>
      <w:r w:rsidRPr="00AF0CED">
        <w:t xml:space="preserve">Ogbonna AO, </w:t>
      </w:r>
      <w:proofErr w:type="spellStart"/>
      <w:r w:rsidRPr="00AF0CED">
        <w:t>Ikeyi</w:t>
      </w:r>
      <w:proofErr w:type="spellEnd"/>
      <w:r w:rsidRPr="00AF0CED">
        <w:t xml:space="preserve"> AP, Nweke OE and Ugwu OPC. (2013). Studies on the effect of aqueous extract of </w:t>
      </w:r>
      <w:proofErr w:type="spellStart"/>
      <w:r w:rsidRPr="00AF0CED">
        <w:t>dennettia</w:t>
      </w:r>
      <w:proofErr w:type="spellEnd"/>
      <w:r w:rsidRPr="00AF0CED">
        <w:t xml:space="preserve"> </w:t>
      </w:r>
      <w:proofErr w:type="spellStart"/>
      <w:r w:rsidRPr="00AF0CED">
        <w:t>tripetal</w:t>
      </w:r>
      <w:proofErr w:type="spellEnd"/>
      <w:r w:rsidRPr="00AF0CED">
        <w:t xml:space="preserve"> (</w:t>
      </w:r>
      <w:proofErr w:type="spellStart"/>
      <w:r w:rsidRPr="00AF0CED">
        <w:t>mmimi</w:t>
      </w:r>
      <w:proofErr w:type="spellEnd"/>
      <w:r w:rsidRPr="00AF0CED">
        <w:t xml:space="preserve">, pepper fruit) seeds on </w:t>
      </w:r>
      <w:proofErr w:type="spellStart"/>
      <w:r w:rsidRPr="00AF0CED">
        <w:t>escherichia</w:t>
      </w:r>
      <w:proofErr w:type="spellEnd"/>
      <w:r w:rsidRPr="00AF0CED">
        <w:t xml:space="preserve"> coli., International Journal of Research and Reviews in Pharmacy and Applied science; 3(6):858-862.</w:t>
      </w:r>
    </w:p>
    <w:p w14:paraId="2B26EB34" w14:textId="77777777" w:rsidR="002D3C02" w:rsidRPr="00AF0CED" w:rsidRDefault="002D3C02" w:rsidP="002D3C02">
      <w:pPr>
        <w:spacing w:line="360" w:lineRule="auto"/>
        <w:ind w:left="720" w:hanging="720"/>
        <w:jc w:val="both"/>
        <w:rPr>
          <w:shd w:val="clear" w:color="auto" w:fill="FFFFFF"/>
        </w:rPr>
      </w:pPr>
      <w:r w:rsidRPr="00AF0CED">
        <w:rPr>
          <w:shd w:val="clear" w:color="auto" w:fill="FFFFFF"/>
        </w:rPr>
        <w:t xml:space="preserve">Ogunyemi, O.M., Gyebi, G.A., Ibrahim, I.M., Esan, A.M., Olaiya, C.O., Soliman. M.M., et al. 2022. Identification of promising multi-targeting inhibitors of obesity from Vernonia amygdalina through computational analysis. </w:t>
      </w:r>
      <w:r w:rsidRPr="00AF0CED">
        <w:rPr>
          <w:i/>
          <w:shd w:val="clear" w:color="auto" w:fill="FFFFFF"/>
        </w:rPr>
        <w:t>Mol. Divers.</w:t>
      </w:r>
      <w:r w:rsidRPr="00AF0CED">
        <w:rPr>
          <w:shd w:val="clear" w:color="auto" w:fill="FFFFFF"/>
        </w:rPr>
        <w:t xml:space="preserve"> Doi:10.1007/s11030-022-10397-6</w:t>
      </w:r>
    </w:p>
    <w:p w14:paraId="0F19EB15" w14:textId="77777777" w:rsidR="002D3C02" w:rsidRPr="00AF0CED" w:rsidRDefault="002D3C02" w:rsidP="002D3C02">
      <w:pPr>
        <w:pStyle w:val="NormalWeb"/>
        <w:shd w:val="clear" w:color="auto" w:fill="FFFFFF"/>
        <w:spacing w:before="0" w:beforeAutospacing="0" w:after="0" w:afterAutospacing="0" w:line="360" w:lineRule="auto"/>
        <w:ind w:left="720" w:hanging="720"/>
        <w:jc w:val="both"/>
      </w:pPr>
      <w:proofErr w:type="spellStart"/>
      <w:r w:rsidRPr="00AF0CED">
        <w:t>Oyedemi</w:t>
      </w:r>
      <w:proofErr w:type="spellEnd"/>
      <w:r w:rsidRPr="00AF0CED">
        <w:t xml:space="preserve">, S.O., </w:t>
      </w:r>
      <w:proofErr w:type="spellStart"/>
      <w:r w:rsidRPr="00AF0CED">
        <w:t>Oyedemi</w:t>
      </w:r>
      <w:proofErr w:type="spellEnd"/>
      <w:r w:rsidRPr="00AF0CED">
        <w:t xml:space="preserve">, B.O., </w:t>
      </w:r>
      <w:proofErr w:type="spellStart"/>
      <w:r w:rsidRPr="00AF0CED">
        <w:t>Ijeh</w:t>
      </w:r>
      <w:proofErr w:type="spellEnd"/>
      <w:r w:rsidRPr="00AF0CED">
        <w:t xml:space="preserve">, I.I., </w:t>
      </w:r>
      <w:proofErr w:type="spellStart"/>
      <w:r w:rsidRPr="00AF0CED">
        <w:t>Ohanyerem</w:t>
      </w:r>
      <w:proofErr w:type="spellEnd"/>
      <w:r w:rsidRPr="00AF0CED">
        <w:t xml:space="preserve">, P.E., </w:t>
      </w:r>
      <w:proofErr w:type="spellStart"/>
      <w:r w:rsidRPr="00AF0CED">
        <w:t>Coopoosamy</w:t>
      </w:r>
      <w:proofErr w:type="spellEnd"/>
      <w:r w:rsidRPr="00AF0CED">
        <w:t xml:space="preserve">, R.M., </w:t>
      </w:r>
      <w:proofErr w:type="spellStart"/>
      <w:r w:rsidRPr="00AF0CED">
        <w:t>Aiyegoro</w:t>
      </w:r>
      <w:proofErr w:type="spellEnd"/>
      <w:r w:rsidRPr="00AF0CED">
        <w:t xml:space="preserve">, O.A. 2017. “Alpha-Amylase Inhibition and Antioxidative Capacity of Some Antidiabetic Plants Used by the Traditional Healers in Southeastern Nigeria”, </w:t>
      </w:r>
      <w:r w:rsidRPr="00AF0CED">
        <w:rPr>
          <w:i/>
        </w:rPr>
        <w:t xml:space="preserve">The Scientific World Journal, </w:t>
      </w:r>
      <w:r w:rsidRPr="00AF0CED">
        <w:t xml:space="preserve">vol. 2017, Article ID 3592491, 11 pages, 2017. </w:t>
      </w:r>
      <w:proofErr w:type="gramStart"/>
      <w:r w:rsidRPr="00AF0CED">
        <w:t>https:doi.org</w:t>
      </w:r>
      <w:proofErr w:type="gramEnd"/>
      <w:r w:rsidRPr="00AF0CED">
        <w:t>/10.1155/2017/3592491</w:t>
      </w:r>
    </w:p>
    <w:p w14:paraId="705C3927" w14:textId="77777777" w:rsidR="002D3C02" w:rsidRPr="00AF0CED" w:rsidRDefault="002D3C02" w:rsidP="002D3C02">
      <w:pPr>
        <w:spacing w:line="360" w:lineRule="auto"/>
        <w:ind w:left="720" w:hanging="720"/>
        <w:jc w:val="both"/>
        <w:rPr>
          <w:shd w:val="clear" w:color="auto" w:fill="FFFFFF"/>
        </w:rPr>
      </w:pPr>
      <w:r w:rsidRPr="00AF0CED">
        <w:rPr>
          <w:shd w:val="clear" w:color="auto" w:fill="FFFFFF"/>
        </w:rPr>
        <w:t>Papoutsis, K., Zhang, J., Bowyer, M.C., Brunton, N., Gibney, E.R. and Lyng, J., 2021. Fruit, vegetables, and mushrooms for the preparation of extracts with α-amylase and α-glucosidase inhibition properties: A review. </w:t>
      </w:r>
      <w:r w:rsidRPr="00AF0CED">
        <w:rPr>
          <w:i/>
          <w:iCs/>
          <w:shd w:val="clear" w:color="auto" w:fill="FFFFFF"/>
        </w:rPr>
        <w:t>Food Chemistry</w:t>
      </w:r>
      <w:r w:rsidRPr="00AF0CED">
        <w:rPr>
          <w:shd w:val="clear" w:color="auto" w:fill="FFFFFF"/>
        </w:rPr>
        <w:t>, </w:t>
      </w:r>
      <w:r w:rsidRPr="00AF0CED">
        <w:rPr>
          <w:i/>
          <w:iCs/>
          <w:shd w:val="clear" w:color="auto" w:fill="FFFFFF"/>
        </w:rPr>
        <w:t>338</w:t>
      </w:r>
      <w:r w:rsidRPr="00AF0CED">
        <w:rPr>
          <w:shd w:val="clear" w:color="auto" w:fill="FFFFFF"/>
        </w:rPr>
        <w:t>, p.128119.</w:t>
      </w:r>
    </w:p>
    <w:p w14:paraId="1D0973AC" w14:textId="77777777" w:rsidR="002D3C02" w:rsidRPr="00AF0CED" w:rsidRDefault="002D3C02" w:rsidP="002D3C02">
      <w:pPr>
        <w:spacing w:line="360" w:lineRule="auto"/>
        <w:ind w:left="720" w:hanging="720"/>
        <w:jc w:val="both"/>
        <w:rPr>
          <w:shd w:val="clear" w:color="auto" w:fill="FFFFFF"/>
        </w:rPr>
      </w:pPr>
      <w:proofErr w:type="spellStart"/>
      <w:r w:rsidRPr="00AF0CED">
        <w:rPr>
          <w:shd w:val="clear" w:color="auto" w:fill="FFFFFF"/>
        </w:rPr>
        <w:t>Ramchoun</w:t>
      </w:r>
      <w:proofErr w:type="spellEnd"/>
      <w:r w:rsidRPr="00AF0CED">
        <w:rPr>
          <w:shd w:val="clear" w:color="auto" w:fill="FFFFFF"/>
        </w:rPr>
        <w:t xml:space="preserve"> M, </w:t>
      </w:r>
      <w:proofErr w:type="spellStart"/>
      <w:r w:rsidRPr="00AF0CED">
        <w:rPr>
          <w:shd w:val="clear" w:color="auto" w:fill="FFFFFF"/>
        </w:rPr>
        <w:t>Khouya</w:t>
      </w:r>
      <w:proofErr w:type="spellEnd"/>
      <w:r w:rsidRPr="00AF0CED">
        <w:rPr>
          <w:shd w:val="clear" w:color="auto" w:fill="FFFFFF"/>
        </w:rPr>
        <w:t xml:space="preserve"> T, </w:t>
      </w:r>
      <w:proofErr w:type="spellStart"/>
      <w:r w:rsidRPr="00AF0CED">
        <w:rPr>
          <w:shd w:val="clear" w:color="auto" w:fill="FFFFFF"/>
        </w:rPr>
        <w:t>Harnafi</w:t>
      </w:r>
      <w:proofErr w:type="spellEnd"/>
      <w:r w:rsidRPr="00AF0CED">
        <w:rPr>
          <w:shd w:val="clear" w:color="auto" w:fill="FFFFFF"/>
        </w:rPr>
        <w:t xml:space="preserve"> H, </w:t>
      </w:r>
      <w:proofErr w:type="spellStart"/>
      <w:r w:rsidRPr="00AF0CED">
        <w:rPr>
          <w:shd w:val="clear" w:color="auto" w:fill="FFFFFF"/>
        </w:rPr>
        <w:t>Amrani</w:t>
      </w:r>
      <w:proofErr w:type="spellEnd"/>
      <w:r w:rsidRPr="00AF0CED">
        <w:rPr>
          <w:shd w:val="clear" w:color="auto" w:fill="FFFFFF"/>
        </w:rPr>
        <w:t xml:space="preserve"> S, </w:t>
      </w:r>
      <w:proofErr w:type="spellStart"/>
      <w:r w:rsidRPr="00AF0CED">
        <w:rPr>
          <w:shd w:val="clear" w:color="auto" w:fill="FFFFFF"/>
        </w:rPr>
        <w:t>Alem</w:t>
      </w:r>
      <w:proofErr w:type="spellEnd"/>
      <w:r w:rsidRPr="00AF0CED">
        <w:rPr>
          <w:shd w:val="clear" w:color="auto" w:fill="FFFFFF"/>
        </w:rPr>
        <w:t xml:space="preserve"> C, </w:t>
      </w:r>
      <w:proofErr w:type="spellStart"/>
      <w:r w:rsidRPr="00AF0CED">
        <w:rPr>
          <w:shd w:val="clear" w:color="auto" w:fill="FFFFFF"/>
        </w:rPr>
        <w:t>Benlyas</w:t>
      </w:r>
      <w:proofErr w:type="spellEnd"/>
      <w:r w:rsidRPr="00AF0CED">
        <w:rPr>
          <w:shd w:val="clear" w:color="auto" w:fill="FFFFFF"/>
        </w:rPr>
        <w:t xml:space="preserve"> M, </w:t>
      </w:r>
      <w:proofErr w:type="spellStart"/>
      <w:r w:rsidRPr="00AF0CED">
        <w:rPr>
          <w:shd w:val="clear" w:color="auto" w:fill="FFFFFF"/>
        </w:rPr>
        <w:t>Kasbi</w:t>
      </w:r>
      <w:proofErr w:type="spellEnd"/>
      <w:r w:rsidRPr="00AF0CED">
        <w:rPr>
          <w:shd w:val="clear" w:color="auto" w:fill="FFFFFF"/>
        </w:rPr>
        <w:t xml:space="preserve"> </w:t>
      </w:r>
      <w:proofErr w:type="spellStart"/>
      <w:r w:rsidRPr="00AF0CED">
        <w:rPr>
          <w:shd w:val="clear" w:color="auto" w:fill="FFFFFF"/>
        </w:rPr>
        <w:t>Chadli</w:t>
      </w:r>
      <w:proofErr w:type="spellEnd"/>
      <w:r w:rsidRPr="00AF0CED">
        <w:rPr>
          <w:shd w:val="clear" w:color="auto" w:fill="FFFFFF"/>
        </w:rPr>
        <w:t xml:space="preserve"> F, Nazih EH, Nguyen P, </w:t>
      </w:r>
      <w:proofErr w:type="spellStart"/>
      <w:r w:rsidRPr="00AF0CED">
        <w:rPr>
          <w:shd w:val="clear" w:color="auto" w:fill="FFFFFF"/>
        </w:rPr>
        <w:t>Ouguerram</w:t>
      </w:r>
      <w:proofErr w:type="spellEnd"/>
      <w:r w:rsidRPr="00AF0CED">
        <w:rPr>
          <w:shd w:val="clear" w:color="auto" w:fill="FFFFFF"/>
        </w:rPr>
        <w:t xml:space="preserve"> K., 2020. Effect of Aqueous Extract and Polyphenol Fraction Derived from </w:t>
      </w:r>
      <w:r w:rsidRPr="00AF0CED">
        <w:rPr>
          <w:i/>
          <w:iCs/>
          <w:shd w:val="clear" w:color="auto" w:fill="FFFFFF"/>
        </w:rPr>
        <w:t>Thymus atlanticus</w:t>
      </w:r>
      <w:r w:rsidRPr="00AF0CED">
        <w:rPr>
          <w:shd w:val="clear" w:color="auto" w:fill="FFFFFF"/>
        </w:rPr>
        <w:t xml:space="preserve"> Leaves on Acute Hyperlipidemia in the Syrian Golden Hamsters. Evid Based Complement Alternat Med. 28; 2020:3282596. </w:t>
      </w:r>
      <w:proofErr w:type="spellStart"/>
      <w:r w:rsidRPr="00AF0CED">
        <w:rPr>
          <w:shd w:val="clear" w:color="auto" w:fill="FFFFFF"/>
        </w:rPr>
        <w:t>doi</w:t>
      </w:r>
      <w:proofErr w:type="spellEnd"/>
      <w:r w:rsidRPr="00AF0CED">
        <w:rPr>
          <w:shd w:val="clear" w:color="auto" w:fill="FFFFFF"/>
        </w:rPr>
        <w:t>: 10.1155/2020/3282596. PMID: 32308705; PMCID: PMC7142347.</w:t>
      </w:r>
    </w:p>
    <w:p w14:paraId="0EA7538C" w14:textId="77777777" w:rsidR="002D3C02" w:rsidRPr="00AF0CED" w:rsidRDefault="002D3C02" w:rsidP="002D3C02">
      <w:pPr>
        <w:spacing w:line="360" w:lineRule="auto"/>
        <w:ind w:left="720" w:hanging="720"/>
        <w:jc w:val="both"/>
        <w:rPr>
          <w:shd w:val="clear" w:color="auto" w:fill="FFFFFF"/>
        </w:rPr>
      </w:pPr>
      <w:proofErr w:type="spellStart"/>
      <w:r w:rsidRPr="00AF0CED">
        <w:rPr>
          <w:shd w:val="clear" w:color="auto" w:fill="FFFFFF"/>
          <w:lang w:val="fr-FR"/>
        </w:rPr>
        <w:t>Ramchoun</w:t>
      </w:r>
      <w:proofErr w:type="spellEnd"/>
      <w:r w:rsidRPr="00AF0CED">
        <w:rPr>
          <w:shd w:val="clear" w:color="auto" w:fill="FFFFFF"/>
          <w:lang w:val="fr-FR"/>
        </w:rPr>
        <w:t xml:space="preserve"> M., </w:t>
      </w:r>
      <w:proofErr w:type="spellStart"/>
      <w:r w:rsidRPr="00AF0CED">
        <w:rPr>
          <w:shd w:val="clear" w:color="auto" w:fill="FFFFFF"/>
          <w:lang w:val="fr-FR"/>
        </w:rPr>
        <w:t>Harnafi</w:t>
      </w:r>
      <w:proofErr w:type="spellEnd"/>
      <w:r w:rsidRPr="00AF0CED">
        <w:rPr>
          <w:shd w:val="clear" w:color="auto" w:fill="FFFFFF"/>
          <w:lang w:val="fr-FR"/>
        </w:rPr>
        <w:t xml:space="preserve"> H., Alem C., et al. 2012. </w:t>
      </w:r>
      <w:r w:rsidRPr="00AF0CED">
        <w:rPr>
          <w:shd w:val="clear" w:color="auto" w:fill="FFFFFF"/>
        </w:rPr>
        <w:t>Hypolipidemic and antioxidant effect of polyphenol-rich extracts from Moroccan thyme varieties. </w:t>
      </w:r>
      <w:r w:rsidRPr="00AF0CED">
        <w:rPr>
          <w:rStyle w:val="Emphasis"/>
          <w:rFonts w:eastAsiaTheme="majorEastAsia"/>
          <w:shd w:val="clear" w:color="auto" w:fill="FFFFFF"/>
        </w:rPr>
        <w:t>e-SPEN Journal</w:t>
      </w:r>
      <w:r w:rsidRPr="00AF0CED">
        <w:rPr>
          <w:rStyle w:val="ref-journal"/>
          <w:rFonts w:eastAsiaTheme="majorEastAsia"/>
          <w:i/>
          <w:iCs/>
          <w:shd w:val="clear" w:color="auto" w:fill="FFFFFF"/>
        </w:rPr>
        <w:t>. </w:t>
      </w:r>
      <w:r w:rsidRPr="00AF0CED">
        <w:rPr>
          <w:rStyle w:val="ref-vol"/>
          <w:rFonts w:eastAsiaTheme="majorEastAsia"/>
          <w:shd w:val="clear" w:color="auto" w:fill="FFFFFF"/>
        </w:rPr>
        <w:t>7</w:t>
      </w:r>
      <w:r w:rsidRPr="00AF0CED">
        <w:rPr>
          <w:shd w:val="clear" w:color="auto" w:fill="FFFFFF"/>
        </w:rPr>
        <w:t>(3</w:t>
      </w:r>
      <w:proofErr w:type="gramStart"/>
      <w:r w:rsidRPr="00AF0CED">
        <w:rPr>
          <w:shd w:val="clear" w:color="auto" w:fill="FFFFFF"/>
        </w:rPr>
        <w:t>):e</w:t>
      </w:r>
      <w:proofErr w:type="gramEnd"/>
      <w:r w:rsidRPr="00AF0CED">
        <w:rPr>
          <w:shd w:val="clear" w:color="auto" w:fill="FFFFFF"/>
        </w:rPr>
        <w:t xml:space="preserve">119–e124. </w:t>
      </w:r>
      <w:proofErr w:type="spellStart"/>
      <w:r w:rsidRPr="00AF0CED">
        <w:rPr>
          <w:shd w:val="clear" w:color="auto" w:fill="FFFFFF"/>
        </w:rPr>
        <w:t>doi</w:t>
      </w:r>
      <w:proofErr w:type="spellEnd"/>
      <w:r w:rsidRPr="00AF0CED">
        <w:rPr>
          <w:shd w:val="clear" w:color="auto" w:fill="FFFFFF"/>
        </w:rPr>
        <w:t>: 10.1016/j.clnme.2012.02.005. </w:t>
      </w:r>
    </w:p>
    <w:p w14:paraId="443CCEF7" w14:textId="77777777" w:rsidR="002D3C02" w:rsidRPr="00AF0CED" w:rsidRDefault="002D3C02" w:rsidP="002D3C02">
      <w:pPr>
        <w:spacing w:line="360" w:lineRule="auto"/>
        <w:ind w:left="720" w:hanging="720"/>
        <w:jc w:val="both"/>
      </w:pPr>
      <w:proofErr w:type="spellStart"/>
      <w:r w:rsidRPr="00AF0CED">
        <w:rPr>
          <w:shd w:val="clear" w:color="auto" w:fill="FFFFFF"/>
        </w:rPr>
        <w:t>Ramchoun</w:t>
      </w:r>
      <w:proofErr w:type="spellEnd"/>
      <w:r w:rsidRPr="00AF0CED">
        <w:rPr>
          <w:shd w:val="clear" w:color="auto" w:fill="FFFFFF"/>
        </w:rPr>
        <w:t xml:space="preserve">, M., Harnafi, H., Alem, C., </w:t>
      </w:r>
      <w:proofErr w:type="spellStart"/>
      <w:r w:rsidRPr="00AF0CED">
        <w:rPr>
          <w:shd w:val="clear" w:color="auto" w:fill="FFFFFF"/>
        </w:rPr>
        <w:t>Benlyas</w:t>
      </w:r>
      <w:proofErr w:type="spellEnd"/>
      <w:r w:rsidRPr="00AF0CED">
        <w:rPr>
          <w:shd w:val="clear" w:color="auto" w:fill="FFFFFF"/>
        </w:rPr>
        <w:t xml:space="preserve">, M., Elrhaffari, L. and Amrani, S., 2009. Study on antioxidant and hypolipidemic effects of polyphenol-rich extracts from Thymus vulgaris and </w:t>
      </w:r>
      <w:proofErr w:type="spellStart"/>
      <w:r w:rsidRPr="00AF0CED">
        <w:rPr>
          <w:shd w:val="clear" w:color="auto" w:fill="FFFFFF"/>
        </w:rPr>
        <w:t>Lavendula</w:t>
      </w:r>
      <w:proofErr w:type="spellEnd"/>
      <w:r w:rsidRPr="00AF0CED">
        <w:rPr>
          <w:shd w:val="clear" w:color="auto" w:fill="FFFFFF"/>
        </w:rPr>
        <w:t xml:space="preserve"> </w:t>
      </w:r>
      <w:proofErr w:type="spellStart"/>
      <w:r w:rsidRPr="00AF0CED">
        <w:rPr>
          <w:shd w:val="clear" w:color="auto" w:fill="FFFFFF"/>
        </w:rPr>
        <w:t>multifida</w:t>
      </w:r>
      <w:proofErr w:type="spellEnd"/>
      <w:r w:rsidRPr="00AF0CED">
        <w:rPr>
          <w:shd w:val="clear" w:color="auto" w:fill="FFFFFF"/>
        </w:rPr>
        <w:t>. </w:t>
      </w:r>
      <w:r w:rsidRPr="00AF0CED">
        <w:rPr>
          <w:i/>
          <w:iCs/>
          <w:shd w:val="clear" w:color="auto" w:fill="FFFFFF"/>
        </w:rPr>
        <w:t>Pharmacognosy research</w:t>
      </w:r>
      <w:r w:rsidRPr="00AF0CED">
        <w:rPr>
          <w:shd w:val="clear" w:color="auto" w:fill="FFFFFF"/>
        </w:rPr>
        <w:t>, </w:t>
      </w:r>
      <w:r w:rsidRPr="00AF0CED">
        <w:rPr>
          <w:i/>
          <w:iCs/>
          <w:shd w:val="clear" w:color="auto" w:fill="FFFFFF"/>
        </w:rPr>
        <w:t>1</w:t>
      </w:r>
      <w:r w:rsidRPr="00AF0CED">
        <w:rPr>
          <w:shd w:val="clear" w:color="auto" w:fill="FFFFFF"/>
        </w:rPr>
        <w:t>(3).</w:t>
      </w:r>
    </w:p>
    <w:p w14:paraId="6BDCC0E8" w14:textId="77777777" w:rsidR="002D3C02" w:rsidRPr="00AF0CED" w:rsidRDefault="002D3C02" w:rsidP="002D3C02">
      <w:pPr>
        <w:spacing w:line="360" w:lineRule="auto"/>
        <w:ind w:left="720" w:hanging="720"/>
        <w:jc w:val="both"/>
        <w:rPr>
          <w:shd w:val="clear" w:color="auto" w:fill="FFFFFF"/>
        </w:rPr>
      </w:pPr>
      <w:proofErr w:type="spellStart"/>
      <w:r w:rsidRPr="00AF0CED">
        <w:rPr>
          <w:shd w:val="clear" w:color="auto" w:fill="FFFFFF"/>
        </w:rPr>
        <w:t>Rousset</w:t>
      </w:r>
      <w:proofErr w:type="spellEnd"/>
      <w:r w:rsidRPr="00AF0CED">
        <w:rPr>
          <w:shd w:val="clear" w:color="auto" w:fill="FFFFFF"/>
        </w:rPr>
        <w:t xml:space="preserve"> X, </w:t>
      </w:r>
      <w:proofErr w:type="spellStart"/>
      <w:r w:rsidRPr="00AF0CED">
        <w:rPr>
          <w:shd w:val="clear" w:color="auto" w:fill="FFFFFF"/>
        </w:rPr>
        <w:t>Shamburek</w:t>
      </w:r>
      <w:proofErr w:type="spellEnd"/>
      <w:r w:rsidRPr="00AF0CED">
        <w:rPr>
          <w:shd w:val="clear" w:color="auto" w:fill="FFFFFF"/>
        </w:rPr>
        <w:t xml:space="preserve"> R, </w:t>
      </w:r>
      <w:proofErr w:type="spellStart"/>
      <w:r w:rsidRPr="00AF0CED">
        <w:rPr>
          <w:shd w:val="clear" w:color="auto" w:fill="FFFFFF"/>
        </w:rPr>
        <w:t>Vaisman</w:t>
      </w:r>
      <w:proofErr w:type="spellEnd"/>
      <w:r w:rsidRPr="00AF0CED">
        <w:rPr>
          <w:shd w:val="clear" w:color="auto" w:fill="FFFFFF"/>
        </w:rPr>
        <w:t xml:space="preserve"> B, Amar M, Remaley AT. 2011. Lecithin cholesterol acyltransferase: an anti- or pro-atherogenic factor? </w:t>
      </w:r>
      <w:proofErr w:type="spellStart"/>
      <w:r w:rsidRPr="00AF0CED">
        <w:rPr>
          <w:shd w:val="clear" w:color="auto" w:fill="FFFFFF"/>
        </w:rPr>
        <w:t>Curr</w:t>
      </w:r>
      <w:proofErr w:type="spellEnd"/>
      <w:r w:rsidRPr="00AF0CED">
        <w:rPr>
          <w:shd w:val="clear" w:color="auto" w:fill="FFFFFF"/>
        </w:rPr>
        <w:t xml:space="preserve"> </w:t>
      </w:r>
      <w:proofErr w:type="spellStart"/>
      <w:r w:rsidRPr="00AF0CED">
        <w:rPr>
          <w:shd w:val="clear" w:color="auto" w:fill="FFFFFF"/>
        </w:rPr>
        <w:t>Atheroscler</w:t>
      </w:r>
      <w:proofErr w:type="spellEnd"/>
      <w:r w:rsidRPr="00AF0CED">
        <w:rPr>
          <w:shd w:val="clear" w:color="auto" w:fill="FFFFFF"/>
        </w:rPr>
        <w:t xml:space="preserve"> Rep. 13(3):249-56. </w:t>
      </w:r>
      <w:proofErr w:type="spellStart"/>
      <w:r w:rsidRPr="00AF0CED">
        <w:rPr>
          <w:shd w:val="clear" w:color="auto" w:fill="FFFFFF"/>
        </w:rPr>
        <w:t>doi</w:t>
      </w:r>
      <w:proofErr w:type="spellEnd"/>
      <w:r w:rsidRPr="00AF0CED">
        <w:rPr>
          <w:shd w:val="clear" w:color="auto" w:fill="FFFFFF"/>
        </w:rPr>
        <w:t>: 10.1007/s11883-011-0171-6. PMID: 21331766; PMCID: PMC3794709.</w:t>
      </w:r>
    </w:p>
    <w:p w14:paraId="0EE162B2" w14:textId="77777777" w:rsidR="002D3C02" w:rsidRPr="00AF0CED" w:rsidRDefault="002D3C02" w:rsidP="002D3C02">
      <w:pPr>
        <w:tabs>
          <w:tab w:val="left" w:pos="2191"/>
        </w:tabs>
        <w:spacing w:line="360" w:lineRule="auto"/>
        <w:ind w:left="720" w:hanging="720"/>
        <w:jc w:val="both"/>
        <w:rPr>
          <w:bCs/>
        </w:rPr>
      </w:pPr>
      <w:proofErr w:type="spellStart"/>
      <w:r w:rsidRPr="00AF0CED">
        <w:rPr>
          <w:shd w:val="clear" w:color="auto" w:fill="FFFFFF"/>
        </w:rPr>
        <w:lastRenderedPageBreak/>
        <w:t>Šamec</w:t>
      </w:r>
      <w:proofErr w:type="spellEnd"/>
      <w:r w:rsidRPr="00AF0CED">
        <w:rPr>
          <w:shd w:val="clear" w:color="auto" w:fill="FFFFFF"/>
        </w:rPr>
        <w:t xml:space="preserve">, D., </w:t>
      </w:r>
      <w:proofErr w:type="spellStart"/>
      <w:r w:rsidRPr="00AF0CED">
        <w:rPr>
          <w:shd w:val="clear" w:color="auto" w:fill="FFFFFF"/>
        </w:rPr>
        <w:t>Piljac-Žegarac</w:t>
      </w:r>
      <w:proofErr w:type="spellEnd"/>
      <w:r w:rsidRPr="00AF0CED">
        <w:rPr>
          <w:shd w:val="clear" w:color="auto" w:fill="FFFFFF"/>
        </w:rPr>
        <w:t xml:space="preserve">, J., Bogović, M., Habjanič, K. and </w:t>
      </w:r>
      <w:proofErr w:type="spellStart"/>
      <w:r w:rsidRPr="00AF0CED">
        <w:rPr>
          <w:shd w:val="clear" w:color="auto" w:fill="FFFFFF"/>
        </w:rPr>
        <w:t>Grúz</w:t>
      </w:r>
      <w:proofErr w:type="spellEnd"/>
      <w:r w:rsidRPr="00AF0CED">
        <w:rPr>
          <w:shd w:val="clear" w:color="auto" w:fill="FFFFFF"/>
        </w:rPr>
        <w:t xml:space="preserve">, J., 2011. Antioxidant potency of white (Brassica oleracea L. var. capitata) and Chinese (Brassica rapa L. var. </w:t>
      </w:r>
      <w:proofErr w:type="spellStart"/>
      <w:r w:rsidRPr="00AF0CED">
        <w:rPr>
          <w:shd w:val="clear" w:color="auto" w:fill="FFFFFF"/>
        </w:rPr>
        <w:t>pekinensis</w:t>
      </w:r>
      <w:proofErr w:type="spellEnd"/>
      <w:r w:rsidRPr="00AF0CED">
        <w:rPr>
          <w:shd w:val="clear" w:color="auto" w:fill="FFFFFF"/>
        </w:rPr>
        <w:t xml:space="preserve"> (</w:t>
      </w:r>
      <w:proofErr w:type="spellStart"/>
      <w:r w:rsidRPr="00AF0CED">
        <w:rPr>
          <w:shd w:val="clear" w:color="auto" w:fill="FFFFFF"/>
        </w:rPr>
        <w:t>Lour</w:t>
      </w:r>
      <w:proofErr w:type="spellEnd"/>
      <w:r w:rsidRPr="00AF0CED">
        <w:rPr>
          <w:shd w:val="clear" w:color="auto" w:fill="FFFFFF"/>
        </w:rPr>
        <w:t>.)) cabbage: The influence of development stage, cultivar choice and seed selection. </w:t>
      </w:r>
      <w:r w:rsidRPr="00AF0CED">
        <w:rPr>
          <w:i/>
          <w:iCs/>
          <w:shd w:val="clear" w:color="auto" w:fill="FFFFFF"/>
        </w:rPr>
        <w:t xml:space="preserve">Scientia </w:t>
      </w:r>
      <w:proofErr w:type="spellStart"/>
      <w:r w:rsidRPr="00AF0CED">
        <w:rPr>
          <w:i/>
          <w:iCs/>
          <w:shd w:val="clear" w:color="auto" w:fill="FFFFFF"/>
        </w:rPr>
        <w:t>horticulturae</w:t>
      </w:r>
      <w:proofErr w:type="spellEnd"/>
      <w:r w:rsidRPr="00AF0CED">
        <w:rPr>
          <w:shd w:val="clear" w:color="auto" w:fill="FFFFFF"/>
        </w:rPr>
        <w:t>, </w:t>
      </w:r>
      <w:r w:rsidRPr="00AF0CED">
        <w:rPr>
          <w:i/>
          <w:iCs/>
          <w:shd w:val="clear" w:color="auto" w:fill="FFFFFF"/>
        </w:rPr>
        <w:t>128</w:t>
      </w:r>
      <w:r w:rsidRPr="00AF0CED">
        <w:rPr>
          <w:shd w:val="clear" w:color="auto" w:fill="FFFFFF"/>
        </w:rPr>
        <w:t>(2), pp.78-83.</w:t>
      </w:r>
    </w:p>
    <w:p w14:paraId="7793F50B" w14:textId="77777777" w:rsidR="002D3C02" w:rsidRPr="00AF0CED" w:rsidRDefault="002D3C02" w:rsidP="002D3C02">
      <w:pPr>
        <w:tabs>
          <w:tab w:val="left" w:pos="2191"/>
        </w:tabs>
        <w:spacing w:line="360" w:lineRule="auto"/>
        <w:ind w:left="720" w:hanging="720"/>
        <w:jc w:val="both"/>
        <w:rPr>
          <w:bCs/>
        </w:rPr>
      </w:pPr>
      <w:proofErr w:type="spellStart"/>
      <w:r w:rsidRPr="00AF0CED">
        <w:rPr>
          <w:shd w:val="clear" w:color="auto" w:fill="FFFFFF"/>
        </w:rPr>
        <w:t>Slanc</w:t>
      </w:r>
      <w:proofErr w:type="spellEnd"/>
      <w:r w:rsidRPr="00AF0CED">
        <w:rPr>
          <w:shd w:val="clear" w:color="auto" w:fill="FFFFFF"/>
        </w:rPr>
        <w:t xml:space="preserve"> P, </w:t>
      </w:r>
      <w:proofErr w:type="spellStart"/>
      <w:r w:rsidRPr="00AF0CED">
        <w:rPr>
          <w:shd w:val="clear" w:color="auto" w:fill="FFFFFF"/>
        </w:rPr>
        <w:t>Doljak</w:t>
      </w:r>
      <w:proofErr w:type="spellEnd"/>
      <w:r w:rsidRPr="00AF0CED">
        <w:rPr>
          <w:shd w:val="clear" w:color="auto" w:fill="FFFFFF"/>
        </w:rPr>
        <w:t xml:space="preserve"> B, Kreft S, Lunder M, Janes D, </w:t>
      </w:r>
      <w:proofErr w:type="spellStart"/>
      <w:r w:rsidRPr="00AF0CED">
        <w:rPr>
          <w:shd w:val="clear" w:color="auto" w:fill="FFFFFF"/>
        </w:rPr>
        <w:t>Strukelj</w:t>
      </w:r>
      <w:proofErr w:type="spellEnd"/>
      <w:r w:rsidRPr="00AF0CED">
        <w:rPr>
          <w:shd w:val="clear" w:color="auto" w:fill="FFFFFF"/>
        </w:rPr>
        <w:t xml:space="preserve"> B. Screening of selected food and medicinal plant extracts for pancreatic lipase inhibition. </w:t>
      </w:r>
      <w:proofErr w:type="spellStart"/>
      <w:r w:rsidRPr="00AF0CED">
        <w:rPr>
          <w:shd w:val="clear" w:color="auto" w:fill="FFFFFF"/>
        </w:rPr>
        <w:t>Phytother</w:t>
      </w:r>
      <w:proofErr w:type="spellEnd"/>
      <w:r w:rsidRPr="00AF0CED">
        <w:rPr>
          <w:shd w:val="clear" w:color="auto" w:fill="FFFFFF"/>
        </w:rPr>
        <w:t xml:space="preserve"> Res. 2009 Jun;23(6):874-7. </w:t>
      </w:r>
      <w:proofErr w:type="spellStart"/>
      <w:r w:rsidRPr="00AF0CED">
        <w:rPr>
          <w:shd w:val="clear" w:color="auto" w:fill="FFFFFF"/>
        </w:rPr>
        <w:t>doi</w:t>
      </w:r>
      <w:proofErr w:type="spellEnd"/>
      <w:r w:rsidRPr="00AF0CED">
        <w:rPr>
          <w:shd w:val="clear" w:color="auto" w:fill="FFFFFF"/>
        </w:rPr>
        <w:t>: 10.1002/ptr.2718. PMID: 19107742.</w:t>
      </w:r>
    </w:p>
    <w:p w14:paraId="022C918C" w14:textId="77777777" w:rsidR="002D3C02" w:rsidRPr="00AF0CED" w:rsidRDefault="002D3C02" w:rsidP="002D3C02">
      <w:pPr>
        <w:shd w:val="clear" w:color="auto" w:fill="FFFFFF"/>
        <w:spacing w:line="360" w:lineRule="auto"/>
        <w:ind w:left="720" w:hanging="720"/>
        <w:jc w:val="both"/>
      </w:pPr>
      <w:proofErr w:type="spellStart"/>
      <w:r w:rsidRPr="00AF0CED">
        <w:t>Sokeng</w:t>
      </w:r>
      <w:proofErr w:type="spellEnd"/>
      <w:r w:rsidRPr="00AF0CED">
        <w:t xml:space="preserve"> A.J.T., </w:t>
      </w:r>
      <w:proofErr w:type="spellStart"/>
      <w:r w:rsidRPr="00AF0CED">
        <w:t>Sobolev</w:t>
      </w:r>
      <w:proofErr w:type="spellEnd"/>
      <w:r w:rsidRPr="00AF0CED">
        <w:t xml:space="preserve"> A.P., Di Lorenzo A., Xiao J., Mannina L., Capitani D., </w:t>
      </w:r>
      <w:proofErr w:type="spellStart"/>
      <w:r w:rsidRPr="00AF0CED">
        <w:t>Daglia</w:t>
      </w:r>
      <w:proofErr w:type="spellEnd"/>
      <w:r w:rsidRPr="00AF0CED">
        <w:t xml:space="preserve"> M. (2019): Metabolite characterization of powdered fruits and leaves from </w:t>
      </w:r>
      <w:r w:rsidRPr="00AF0CED">
        <w:rPr>
          <w:i/>
          <w:iCs/>
        </w:rPr>
        <w:t>Adansonia digitata</w:t>
      </w:r>
      <w:r w:rsidRPr="00AF0CED">
        <w:t xml:space="preserve"> L. (Baobab): A multi-methodological approach. Food Chem.272:93–108. </w:t>
      </w:r>
    </w:p>
    <w:p w14:paraId="02D866BA" w14:textId="77777777" w:rsidR="002D3C02" w:rsidRPr="00AF0CED" w:rsidRDefault="002D3C02" w:rsidP="002D3C02">
      <w:pPr>
        <w:spacing w:line="360" w:lineRule="auto"/>
        <w:ind w:left="720" w:hanging="720"/>
        <w:jc w:val="both"/>
      </w:pPr>
      <w:r w:rsidRPr="00AF0CED">
        <w:rPr>
          <w:shd w:val="clear" w:color="auto" w:fill="FFFFFF"/>
        </w:rPr>
        <w:t xml:space="preserve">Su L, Mittal R, Ramgobin D, Jain R, Jain R. Current Management Guidelines on Hyperlipidemia: The Silent Killer. J Lipids. 2021 Jul </w:t>
      </w:r>
      <w:proofErr w:type="gramStart"/>
      <w:r w:rsidRPr="00AF0CED">
        <w:rPr>
          <w:shd w:val="clear" w:color="auto" w:fill="FFFFFF"/>
        </w:rPr>
        <w:t>31;2021:9883352</w:t>
      </w:r>
      <w:proofErr w:type="gramEnd"/>
      <w:r w:rsidRPr="00AF0CED">
        <w:rPr>
          <w:shd w:val="clear" w:color="auto" w:fill="FFFFFF"/>
        </w:rPr>
        <w:t xml:space="preserve">. </w:t>
      </w:r>
      <w:proofErr w:type="spellStart"/>
      <w:r w:rsidRPr="00AF0CED">
        <w:rPr>
          <w:shd w:val="clear" w:color="auto" w:fill="FFFFFF"/>
        </w:rPr>
        <w:t>doi</w:t>
      </w:r>
      <w:proofErr w:type="spellEnd"/>
      <w:r w:rsidRPr="00AF0CED">
        <w:rPr>
          <w:shd w:val="clear" w:color="auto" w:fill="FFFFFF"/>
        </w:rPr>
        <w:t>: 10.1155/2021/9883352. PMID: 34394993; PMCID: PMC8363437.</w:t>
      </w:r>
    </w:p>
    <w:p w14:paraId="42E9B042" w14:textId="77777777" w:rsidR="002D3C02" w:rsidRPr="00AF0CED" w:rsidRDefault="002D3C02" w:rsidP="002D3C02">
      <w:pPr>
        <w:shd w:val="clear" w:color="auto" w:fill="FFFFFF"/>
        <w:spacing w:line="360" w:lineRule="auto"/>
        <w:ind w:left="720" w:hanging="720"/>
        <w:jc w:val="both"/>
        <w:rPr>
          <w:shd w:val="clear" w:color="auto" w:fill="FFFFFF"/>
        </w:rPr>
      </w:pPr>
      <w:r w:rsidRPr="00AF0CED">
        <w:rPr>
          <w:shd w:val="clear" w:color="auto" w:fill="FFFFFF"/>
        </w:rPr>
        <w:t>Sun YE, Wang W, Qin J. Anti-hyperlipidemia of garlic by reducing the level of total cholesterol and low-density lipoprotein: A meta-analysis. Medicine (Baltimore). 2018 May;97(18</w:t>
      </w:r>
      <w:proofErr w:type="gramStart"/>
      <w:r w:rsidRPr="00AF0CED">
        <w:rPr>
          <w:shd w:val="clear" w:color="auto" w:fill="FFFFFF"/>
        </w:rPr>
        <w:t>):e</w:t>
      </w:r>
      <w:proofErr w:type="gramEnd"/>
      <w:r w:rsidRPr="00AF0CED">
        <w:rPr>
          <w:shd w:val="clear" w:color="auto" w:fill="FFFFFF"/>
        </w:rPr>
        <w:t xml:space="preserve">0255. </w:t>
      </w:r>
      <w:proofErr w:type="spellStart"/>
      <w:r w:rsidRPr="00AF0CED">
        <w:rPr>
          <w:shd w:val="clear" w:color="auto" w:fill="FFFFFF"/>
        </w:rPr>
        <w:t>doi</w:t>
      </w:r>
      <w:proofErr w:type="spellEnd"/>
      <w:r w:rsidRPr="00AF0CED">
        <w:rPr>
          <w:shd w:val="clear" w:color="auto" w:fill="FFFFFF"/>
        </w:rPr>
        <w:t>: 10.1097/MD.0000000000010255. PMID: 29718835; PMCID: PMC6392629.</w:t>
      </w:r>
    </w:p>
    <w:p w14:paraId="1A1BB7C7" w14:textId="77777777" w:rsidR="002D3C02" w:rsidRPr="00AF0CED" w:rsidRDefault="002D3C02" w:rsidP="002D3C02">
      <w:pPr>
        <w:spacing w:line="360" w:lineRule="auto"/>
        <w:ind w:left="720" w:hanging="720"/>
        <w:jc w:val="both"/>
      </w:pPr>
      <w:proofErr w:type="spellStart"/>
      <w:r w:rsidRPr="00AF0CED">
        <w:rPr>
          <w:shd w:val="clear" w:color="auto" w:fill="FFFFFF"/>
        </w:rPr>
        <w:t>Wickramaratne</w:t>
      </w:r>
      <w:proofErr w:type="spellEnd"/>
      <w:r w:rsidRPr="00AF0CED">
        <w:rPr>
          <w:shd w:val="clear" w:color="auto" w:fill="FFFFFF"/>
        </w:rPr>
        <w:t xml:space="preserve"> MN, </w:t>
      </w:r>
      <w:proofErr w:type="spellStart"/>
      <w:r w:rsidRPr="00AF0CED">
        <w:rPr>
          <w:shd w:val="clear" w:color="auto" w:fill="FFFFFF"/>
        </w:rPr>
        <w:t>Punchihewa</w:t>
      </w:r>
      <w:proofErr w:type="spellEnd"/>
      <w:r w:rsidRPr="00AF0CED">
        <w:rPr>
          <w:shd w:val="clear" w:color="auto" w:fill="FFFFFF"/>
        </w:rPr>
        <w:t xml:space="preserve"> JC, </w:t>
      </w:r>
      <w:proofErr w:type="spellStart"/>
      <w:r w:rsidRPr="00AF0CED">
        <w:rPr>
          <w:shd w:val="clear" w:color="auto" w:fill="FFFFFF"/>
        </w:rPr>
        <w:t>Wickramaratne</w:t>
      </w:r>
      <w:proofErr w:type="spellEnd"/>
      <w:r w:rsidRPr="00AF0CED">
        <w:rPr>
          <w:shd w:val="clear" w:color="auto" w:fill="FFFFFF"/>
        </w:rPr>
        <w:t xml:space="preserve"> DB. In-vitro alpha amylase inhibitory activity of the leaf extracts of </w:t>
      </w:r>
      <w:proofErr w:type="spellStart"/>
      <w:r w:rsidRPr="00AF0CED">
        <w:rPr>
          <w:shd w:val="clear" w:color="auto" w:fill="FFFFFF"/>
        </w:rPr>
        <w:t>Adenanthera</w:t>
      </w:r>
      <w:proofErr w:type="spellEnd"/>
      <w:r w:rsidRPr="00AF0CED">
        <w:rPr>
          <w:shd w:val="clear" w:color="auto" w:fill="FFFFFF"/>
        </w:rPr>
        <w:t xml:space="preserve"> </w:t>
      </w:r>
      <w:proofErr w:type="spellStart"/>
      <w:r w:rsidRPr="00AF0CED">
        <w:rPr>
          <w:shd w:val="clear" w:color="auto" w:fill="FFFFFF"/>
        </w:rPr>
        <w:t>pavonina</w:t>
      </w:r>
      <w:proofErr w:type="spellEnd"/>
      <w:r w:rsidRPr="00AF0CED">
        <w:rPr>
          <w:shd w:val="clear" w:color="auto" w:fill="FFFFFF"/>
        </w:rPr>
        <w:t xml:space="preserve">. BMC Complement Altern Med. 2016 Nov 15;16(1):466. </w:t>
      </w:r>
      <w:proofErr w:type="spellStart"/>
      <w:r w:rsidRPr="00AF0CED">
        <w:rPr>
          <w:shd w:val="clear" w:color="auto" w:fill="FFFFFF"/>
        </w:rPr>
        <w:t>doi</w:t>
      </w:r>
      <w:proofErr w:type="spellEnd"/>
      <w:r w:rsidRPr="00AF0CED">
        <w:rPr>
          <w:shd w:val="clear" w:color="auto" w:fill="FFFFFF"/>
        </w:rPr>
        <w:t>: 10.1186/s12906-016-1452-y. PMID: 27846876; PMCID: PMC5109804.</w:t>
      </w:r>
    </w:p>
    <w:p w14:paraId="34661D64" w14:textId="77777777" w:rsidR="002D3C02" w:rsidRPr="00AF0CED" w:rsidRDefault="002D3C02" w:rsidP="002D3C02">
      <w:pPr>
        <w:shd w:val="clear" w:color="auto" w:fill="FFFFFF"/>
        <w:spacing w:line="360" w:lineRule="auto"/>
        <w:ind w:left="720" w:hanging="720"/>
        <w:jc w:val="both"/>
      </w:pPr>
      <w:r w:rsidRPr="00AF0CED">
        <w:t>World Heart Report 2023: Confronting the World’s Number One Killer. Geneva, Switzerland. World Heart Federation. 2023.</w:t>
      </w:r>
    </w:p>
    <w:p w14:paraId="4C8265D6" w14:textId="77777777" w:rsidR="002D3C02" w:rsidRPr="00AF0CED" w:rsidRDefault="002D3C02" w:rsidP="002D3C02">
      <w:pPr>
        <w:spacing w:line="360" w:lineRule="auto"/>
        <w:ind w:left="720" w:hanging="720"/>
        <w:jc w:val="both"/>
        <w:rPr>
          <w:lang w:val="fr-FR"/>
        </w:rPr>
      </w:pPr>
      <w:r w:rsidRPr="00AF0CED">
        <w:t xml:space="preserve">Wout ZG, Pec EA, Maggiore JA, Williams RH, </w:t>
      </w:r>
      <w:proofErr w:type="spellStart"/>
      <w:r w:rsidRPr="00AF0CED">
        <w:t>Palicharla</w:t>
      </w:r>
      <w:proofErr w:type="spellEnd"/>
      <w:r w:rsidRPr="00AF0CED">
        <w:t xml:space="preserve"> P, Johnston TP. Poloxamer 407mediated changes in plasma cholesterol and triglycerides following intraperitoneal injection to rats. </w:t>
      </w:r>
      <w:r w:rsidRPr="00AF0CED">
        <w:rPr>
          <w:lang w:val="fr-FR"/>
        </w:rPr>
        <w:t xml:space="preserve">J </w:t>
      </w:r>
      <w:proofErr w:type="spellStart"/>
      <w:r w:rsidRPr="00AF0CED">
        <w:rPr>
          <w:lang w:val="fr-FR"/>
        </w:rPr>
        <w:t>Parenter</w:t>
      </w:r>
      <w:proofErr w:type="spellEnd"/>
      <w:r w:rsidRPr="00AF0CED">
        <w:rPr>
          <w:lang w:val="fr-FR"/>
        </w:rPr>
        <w:t xml:space="preserve"> </w:t>
      </w:r>
      <w:proofErr w:type="spellStart"/>
      <w:r w:rsidRPr="00AF0CED">
        <w:rPr>
          <w:lang w:val="fr-FR"/>
        </w:rPr>
        <w:t>Sci</w:t>
      </w:r>
      <w:proofErr w:type="spellEnd"/>
      <w:r w:rsidRPr="00AF0CED">
        <w:rPr>
          <w:lang w:val="fr-FR"/>
        </w:rPr>
        <w:t xml:space="preserve"> </w:t>
      </w:r>
      <w:proofErr w:type="spellStart"/>
      <w:r w:rsidRPr="00AF0CED">
        <w:rPr>
          <w:lang w:val="fr-FR"/>
        </w:rPr>
        <w:t>Technol</w:t>
      </w:r>
      <w:proofErr w:type="spellEnd"/>
      <w:r w:rsidRPr="00AF0CED">
        <w:rPr>
          <w:lang w:val="fr-FR"/>
        </w:rPr>
        <w:t xml:space="preserve"> </w:t>
      </w:r>
      <w:proofErr w:type="gramStart"/>
      <w:r w:rsidRPr="00AF0CED">
        <w:rPr>
          <w:lang w:val="fr-FR"/>
        </w:rPr>
        <w:t>1992;</w:t>
      </w:r>
      <w:proofErr w:type="gramEnd"/>
      <w:r w:rsidRPr="00AF0CED">
        <w:rPr>
          <w:lang w:val="fr-FR"/>
        </w:rPr>
        <w:t xml:space="preserve"> 46: 192-200.</w:t>
      </w:r>
    </w:p>
    <w:p w14:paraId="2BCE9773" w14:textId="3A73CB0C" w:rsidR="005F2814" w:rsidRPr="00536ED9" w:rsidRDefault="002D3C02" w:rsidP="00536ED9">
      <w:pPr>
        <w:spacing w:line="360" w:lineRule="auto"/>
        <w:ind w:left="720" w:hanging="720"/>
        <w:jc w:val="both"/>
        <w:rPr>
          <w:lang w:val="fr-FR"/>
        </w:rPr>
      </w:pPr>
      <w:r w:rsidRPr="00AF0CED">
        <w:rPr>
          <w:lang w:val="fr-FR"/>
        </w:rPr>
        <w:t xml:space="preserve">Yao DN, Kouassi KN, Erba D, </w:t>
      </w:r>
      <w:proofErr w:type="spellStart"/>
      <w:r w:rsidRPr="00AF0CED">
        <w:rPr>
          <w:lang w:val="fr-FR"/>
        </w:rPr>
        <w:t>Scazzina</w:t>
      </w:r>
      <w:proofErr w:type="spellEnd"/>
      <w:r w:rsidRPr="00AF0CED">
        <w:rPr>
          <w:lang w:val="fr-FR"/>
        </w:rPr>
        <w:t xml:space="preserve"> F, </w:t>
      </w:r>
      <w:proofErr w:type="spellStart"/>
      <w:r w:rsidRPr="00AF0CED">
        <w:rPr>
          <w:lang w:val="fr-FR"/>
        </w:rPr>
        <w:t>Pellegrini</w:t>
      </w:r>
      <w:proofErr w:type="spellEnd"/>
      <w:r w:rsidRPr="00AF0CED">
        <w:rPr>
          <w:lang w:val="fr-FR"/>
        </w:rPr>
        <w:t xml:space="preserve"> N. (2015). Nutritive </w:t>
      </w:r>
      <w:proofErr w:type="spellStart"/>
      <w:r w:rsidRPr="00AF0CED">
        <w:rPr>
          <w:lang w:val="fr-FR"/>
        </w:rPr>
        <w:t>evaluation</w:t>
      </w:r>
      <w:proofErr w:type="spellEnd"/>
      <w:r w:rsidRPr="00AF0CED">
        <w:rPr>
          <w:lang w:val="fr-FR"/>
        </w:rPr>
        <w:t xml:space="preserve"> of the bambara </w:t>
      </w:r>
      <w:proofErr w:type="spellStart"/>
      <w:r w:rsidRPr="00AF0CED">
        <w:rPr>
          <w:lang w:val="fr-FR"/>
        </w:rPr>
        <w:t>groundnut</w:t>
      </w:r>
      <w:proofErr w:type="spellEnd"/>
      <w:r w:rsidRPr="00AF0CED">
        <w:rPr>
          <w:lang w:val="fr-FR"/>
        </w:rPr>
        <w:t xml:space="preserve"> Ci12 </w:t>
      </w:r>
      <w:proofErr w:type="spellStart"/>
      <w:r w:rsidRPr="00AF0CED">
        <w:rPr>
          <w:lang w:val="fr-FR"/>
        </w:rPr>
        <w:t>landrace</w:t>
      </w:r>
      <w:proofErr w:type="spellEnd"/>
      <w:r w:rsidRPr="00AF0CED">
        <w:rPr>
          <w:lang w:val="fr-FR"/>
        </w:rPr>
        <w:t xml:space="preserve"> [</w:t>
      </w:r>
      <w:proofErr w:type="spellStart"/>
      <w:r w:rsidRPr="00AF0CED">
        <w:rPr>
          <w:lang w:val="fr-FR"/>
        </w:rPr>
        <w:t>Vigna</w:t>
      </w:r>
      <w:proofErr w:type="spellEnd"/>
      <w:r w:rsidRPr="00AF0CED">
        <w:rPr>
          <w:lang w:val="fr-FR"/>
        </w:rPr>
        <w:t xml:space="preserve"> </w:t>
      </w:r>
      <w:proofErr w:type="spellStart"/>
      <w:r w:rsidRPr="00AF0CED">
        <w:rPr>
          <w:lang w:val="fr-FR"/>
        </w:rPr>
        <w:t>subterranea</w:t>
      </w:r>
      <w:proofErr w:type="spellEnd"/>
      <w:r w:rsidRPr="00AF0CED">
        <w:rPr>
          <w:lang w:val="fr-FR"/>
        </w:rPr>
        <w:t xml:space="preserve"> (L.) </w:t>
      </w:r>
      <w:proofErr w:type="spellStart"/>
      <w:r w:rsidRPr="00AF0CED">
        <w:rPr>
          <w:lang w:val="fr-FR"/>
        </w:rPr>
        <w:t>Verdc</w:t>
      </w:r>
      <w:proofErr w:type="spellEnd"/>
      <w:r w:rsidRPr="00AF0CED">
        <w:rPr>
          <w:lang w:val="fr-FR"/>
        </w:rPr>
        <w:t>. (</w:t>
      </w:r>
      <w:proofErr w:type="spellStart"/>
      <w:r w:rsidRPr="00AF0CED">
        <w:rPr>
          <w:lang w:val="fr-FR"/>
        </w:rPr>
        <w:t>Fabaceae</w:t>
      </w:r>
      <w:proofErr w:type="spellEnd"/>
      <w:r w:rsidRPr="00AF0CED">
        <w:rPr>
          <w:lang w:val="fr-FR"/>
        </w:rPr>
        <w:t xml:space="preserve">)] </w:t>
      </w:r>
      <w:proofErr w:type="spellStart"/>
      <w:r w:rsidRPr="00AF0CED">
        <w:rPr>
          <w:lang w:val="fr-FR"/>
        </w:rPr>
        <w:t>produced</w:t>
      </w:r>
      <w:proofErr w:type="spellEnd"/>
      <w:r w:rsidRPr="00AF0CED">
        <w:rPr>
          <w:lang w:val="fr-FR"/>
        </w:rPr>
        <w:t xml:space="preserve"> in Côte d’Ivoire. Int J Mol </w:t>
      </w:r>
      <w:proofErr w:type="spellStart"/>
      <w:proofErr w:type="gramStart"/>
      <w:r w:rsidRPr="00AF0CED">
        <w:rPr>
          <w:lang w:val="fr-FR"/>
        </w:rPr>
        <w:t>Sci</w:t>
      </w:r>
      <w:proofErr w:type="spellEnd"/>
      <w:r w:rsidRPr="00AF0CED">
        <w:rPr>
          <w:lang w:val="fr-FR"/>
        </w:rPr>
        <w:t>;</w:t>
      </w:r>
      <w:proofErr w:type="gramEnd"/>
      <w:r w:rsidRPr="00AF0CED">
        <w:rPr>
          <w:lang w:val="fr-FR"/>
        </w:rPr>
        <w:t xml:space="preserve"> 16(9):21428-21441.</w:t>
      </w:r>
      <w:bookmarkStart w:id="14" w:name="_GoBack"/>
      <w:bookmarkEnd w:id="14"/>
    </w:p>
    <w:sectPr w:rsidR="005F2814" w:rsidRPr="00536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321A8"/>
    <w:multiLevelType w:val="multilevel"/>
    <w:tmpl w:val="7AA6B2D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02"/>
    <w:rsid w:val="00026435"/>
    <w:rsid w:val="00076D33"/>
    <w:rsid w:val="00137389"/>
    <w:rsid w:val="002D1851"/>
    <w:rsid w:val="002D3C02"/>
    <w:rsid w:val="004754C4"/>
    <w:rsid w:val="0049555D"/>
    <w:rsid w:val="00536ED9"/>
    <w:rsid w:val="005F2814"/>
    <w:rsid w:val="006A1BA9"/>
    <w:rsid w:val="00A16451"/>
    <w:rsid w:val="00BE48E6"/>
    <w:rsid w:val="00F0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967AA"/>
  <w15:chartTrackingRefBased/>
  <w15:docId w15:val="{5505DF82-635A-4054-843B-C47DB37B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C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autoRedefine/>
    <w:uiPriority w:val="9"/>
    <w:qFormat/>
    <w:rsid w:val="005F2814"/>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5F2814"/>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autoRedefine/>
    <w:uiPriority w:val="9"/>
    <w:unhideWhenUsed/>
    <w:qFormat/>
    <w:rsid w:val="005F2814"/>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2D3C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C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814"/>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5F281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5F2814"/>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2D3C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C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C02"/>
    <w:rPr>
      <w:rFonts w:eastAsiaTheme="majorEastAsia" w:cstheme="majorBidi"/>
      <w:color w:val="272727" w:themeColor="text1" w:themeTint="D8"/>
    </w:rPr>
  </w:style>
  <w:style w:type="paragraph" w:styleId="Title">
    <w:name w:val="Title"/>
    <w:basedOn w:val="Normal"/>
    <w:next w:val="Normal"/>
    <w:link w:val="TitleChar"/>
    <w:uiPriority w:val="10"/>
    <w:qFormat/>
    <w:rsid w:val="002D3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C02"/>
    <w:pPr>
      <w:spacing w:before="160"/>
      <w:jc w:val="center"/>
    </w:pPr>
    <w:rPr>
      <w:i/>
      <w:iCs/>
      <w:color w:val="404040" w:themeColor="text1" w:themeTint="BF"/>
    </w:rPr>
  </w:style>
  <w:style w:type="character" w:customStyle="1" w:styleId="QuoteChar">
    <w:name w:val="Quote Char"/>
    <w:basedOn w:val="DefaultParagraphFont"/>
    <w:link w:val="Quote"/>
    <w:uiPriority w:val="29"/>
    <w:rsid w:val="002D3C02"/>
    <w:rPr>
      <w:i/>
      <w:iCs/>
      <w:color w:val="404040" w:themeColor="text1" w:themeTint="BF"/>
    </w:rPr>
  </w:style>
  <w:style w:type="paragraph" w:styleId="ListParagraph">
    <w:name w:val="List Paragraph"/>
    <w:basedOn w:val="Normal"/>
    <w:uiPriority w:val="34"/>
    <w:qFormat/>
    <w:rsid w:val="002D3C02"/>
    <w:pPr>
      <w:ind w:left="720"/>
      <w:contextualSpacing/>
    </w:pPr>
  </w:style>
  <w:style w:type="character" w:styleId="IntenseEmphasis">
    <w:name w:val="Intense Emphasis"/>
    <w:basedOn w:val="DefaultParagraphFont"/>
    <w:uiPriority w:val="21"/>
    <w:qFormat/>
    <w:rsid w:val="002D3C02"/>
    <w:rPr>
      <w:i/>
      <w:iCs/>
      <w:color w:val="2F5496" w:themeColor="accent1" w:themeShade="BF"/>
    </w:rPr>
  </w:style>
  <w:style w:type="paragraph" w:styleId="IntenseQuote">
    <w:name w:val="Intense Quote"/>
    <w:basedOn w:val="Normal"/>
    <w:next w:val="Normal"/>
    <w:link w:val="IntenseQuoteChar"/>
    <w:uiPriority w:val="30"/>
    <w:qFormat/>
    <w:rsid w:val="002D3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C02"/>
    <w:rPr>
      <w:i/>
      <w:iCs/>
      <w:color w:val="2F5496" w:themeColor="accent1" w:themeShade="BF"/>
    </w:rPr>
  </w:style>
  <w:style w:type="character" w:styleId="IntenseReference">
    <w:name w:val="Intense Reference"/>
    <w:basedOn w:val="DefaultParagraphFont"/>
    <w:uiPriority w:val="32"/>
    <w:qFormat/>
    <w:rsid w:val="002D3C02"/>
    <w:rPr>
      <w:b/>
      <w:bCs/>
      <w:smallCaps/>
      <w:color w:val="2F5496" w:themeColor="accent1" w:themeShade="BF"/>
      <w:spacing w:val="5"/>
    </w:rPr>
  </w:style>
  <w:style w:type="table" w:styleId="TableGrid">
    <w:name w:val="Table Grid"/>
    <w:basedOn w:val="TableNormal"/>
    <w:uiPriority w:val="39"/>
    <w:rsid w:val="002D3C0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3C02"/>
    <w:pPr>
      <w:spacing w:before="100" w:beforeAutospacing="1" w:after="100" w:afterAutospacing="1"/>
    </w:pPr>
  </w:style>
  <w:style w:type="paragraph" w:customStyle="1" w:styleId="p">
    <w:name w:val="p"/>
    <w:basedOn w:val="Normal"/>
    <w:rsid w:val="002D3C02"/>
    <w:pPr>
      <w:spacing w:before="100" w:beforeAutospacing="1" w:after="100" w:afterAutospacing="1"/>
    </w:pPr>
  </w:style>
  <w:style w:type="character" w:customStyle="1" w:styleId="nowrap">
    <w:name w:val="nowrap"/>
    <w:basedOn w:val="DefaultParagraphFont"/>
    <w:rsid w:val="002D3C02"/>
  </w:style>
  <w:style w:type="character" w:customStyle="1" w:styleId="element-citation">
    <w:name w:val="element-citation"/>
    <w:basedOn w:val="DefaultParagraphFont"/>
    <w:rsid w:val="002D3C02"/>
  </w:style>
  <w:style w:type="character" w:customStyle="1" w:styleId="ref-journal">
    <w:name w:val="ref-journal"/>
    <w:basedOn w:val="DefaultParagraphFont"/>
    <w:rsid w:val="002D3C02"/>
  </w:style>
  <w:style w:type="character" w:customStyle="1" w:styleId="ref-vol">
    <w:name w:val="ref-vol"/>
    <w:basedOn w:val="DefaultParagraphFont"/>
    <w:rsid w:val="002D3C02"/>
  </w:style>
  <w:style w:type="character" w:styleId="Emphasis">
    <w:name w:val="Emphasis"/>
    <w:basedOn w:val="DefaultParagraphFont"/>
    <w:uiPriority w:val="20"/>
    <w:qFormat/>
    <w:rsid w:val="002D3C02"/>
    <w:rPr>
      <w:i/>
      <w:iCs/>
    </w:rPr>
  </w:style>
  <w:style w:type="character" w:styleId="Hyperlink">
    <w:name w:val="Hyperlink"/>
    <w:basedOn w:val="DefaultParagraphFont"/>
    <w:uiPriority w:val="99"/>
    <w:unhideWhenUsed/>
    <w:rsid w:val="002D3C02"/>
    <w:rPr>
      <w:color w:val="0563C1" w:themeColor="hyperlink"/>
      <w:u w:val="single"/>
    </w:rPr>
  </w:style>
  <w:style w:type="character" w:styleId="UnresolvedMention">
    <w:name w:val="Unresolved Mention"/>
    <w:basedOn w:val="DefaultParagraphFont"/>
    <w:uiPriority w:val="99"/>
    <w:semiHidden/>
    <w:unhideWhenUsed/>
    <w:rsid w:val="002D3C02"/>
    <w:rPr>
      <w:color w:val="605E5C"/>
      <w:shd w:val="clear" w:color="auto" w:fill="E1DFDD"/>
    </w:rPr>
  </w:style>
  <w:style w:type="paragraph" w:customStyle="1" w:styleId="referencescopy1">
    <w:name w:val="referencescopy1"/>
    <w:basedOn w:val="Normal"/>
    <w:rsid w:val="002D3C02"/>
    <w:pPr>
      <w:spacing w:before="100" w:beforeAutospacing="1" w:after="100" w:afterAutospacing="1"/>
    </w:pPr>
  </w:style>
  <w:style w:type="character" w:customStyle="1" w:styleId="ref-title">
    <w:name w:val="ref-title"/>
    <w:basedOn w:val="DefaultParagraphFont"/>
    <w:rsid w:val="002D3C02"/>
  </w:style>
  <w:style w:type="character" w:customStyle="1" w:styleId="bkciteavail">
    <w:name w:val="bk_cite_avail"/>
    <w:basedOn w:val="DefaultParagraphFont"/>
    <w:rsid w:val="002D3C02"/>
  </w:style>
  <w:style w:type="paragraph" w:styleId="Revision">
    <w:name w:val="Revision"/>
    <w:hidden/>
    <w:uiPriority w:val="99"/>
    <w:semiHidden/>
    <w:rsid w:val="002D3C02"/>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D3C02"/>
    <w:rPr>
      <w:sz w:val="16"/>
      <w:szCs w:val="16"/>
    </w:rPr>
  </w:style>
  <w:style w:type="paragraph" w:styleId="CommentText">
    <w:name w:val="annotation text"/>
    <w:basedOn w:val="Normal"/>
    <w:link w:val="CommentTextChar"/>
    <w:uiPriority w:val="99"/>
    <w:semiHidden/>
    <w:unhideWhenUsed/>
    <w:rsid w:val="002D3C02"/>
    <w:rPr>
      <w:sz w:val="20"/>
      <w:szCs w:val="20"/>
    </w:rPr>
  </w:style>
  <w:style w:type="character" w:customStyle="1" w:styleId="CommentTextChar">
    <w:name w:val="Comment Text Char"/>
    <w:basedOn w:val="DefaultParagraphFont"/>
    <w:link w:val="CommentText"/>
    <w:uiPriority w:val="99"/>
    <w:semiHidden/>
    <w:rsid w:val="002D3C0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3C02"/>
    <w:rPr>
      <w:b/>
      <w:bCs/>
    </w:rPr>
  </w:style>
  <w:style w:type="character" w:customStyle="1" w:styleId="CommentSubjectChar">
    <w:name w:val="Comment Subject Char"/>
    <w:basedOn w:val="CommentTextChar"/>
    <w:link w:val="CommentSubject"/>
    <w:uiPriority w:val="99"/>
    <w:semiHidden/>
    <w:rsid w:val="002D3C02"/>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D3C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C02"/>
    <w:rPr>
      <w:rFonts w:ascii="Segoe UI" w:eastAsia="Times New Roman" w:hAnsi="Segoe UI" w:cs="Segoe UI"/>
      <w:kern w:val="0"/>
      <w:sz w:val="18"/>
      <w:szCs w:val="18"/>
      <w14:ligatures w14:val="none"/>
    </w:rPr>
  </w:style>
  <w:style w:type="table" w:customStyle="1" w:styleId="PlainTable21">
    <w:name w:val="Plain Table 21"/>
    <w:basedOn w:val="TableNormal"/>
    <w:uiPriority w:val="42"/>
    <w:rsid w:val="002D3C02"/>
    <w:pPr>
      <w:spacing w:after="0" w:line="240" w:lineRule="auto"/>
    </w:pPr>
    <w:rPr>
      <w:rFonts w:ascii="Times New Roman" w:hAnsi="Times New Roman"/>
      <w:kern w:val="0"/>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2D3C02"/>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2D3C02"/>
    <w:pPr>
      <w:tabs>
        <w:tab w:val="center" w:pos="4513"/>
        <w:tab w:val="right" w:pos="9026"/>
      </w:tabs>
    </w:pPr>
  </w:style>
  <w:style w:type="character" w:customStyle="1" w:styleId="HeaderChar">
    <w:name w:val="Header Char"/>
    <w:basedOn w:val="DefaultParagraphFont"/>
    <w:link w:val="Header"/>
    <w:uiPriority w:val="99"/>
    <w:rsid w:val="002D3C0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D3C02"/>
    <w:pPr>
      <w:tabs>
        <w:tab w:val="center" w:pos="4513"/>
        <w:tab w:val="right" w:pos="9026"/>
      </w:tabs>
    </w:pPr>
  </w:style>
  <w:style w:type="character" w:customStyle="1" w:styleId="FooterChar">
    <w:name w:val="Footer Char"/>
    <w:basedOn w:val="DefaultParagraphFont"/>
    <w:link w:val="Footer"/>
    <w:uiPriority w:val="99"/>
    <w:rsid w:val="002D3C02"/>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2D3C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about:blank"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20</Pages>
  <Words>5654</Words>
  <Characters>32228</Characters>
  <Application>Microsoft Office Word</Application>
  <DocSecurity>0</DocSecurity>
  <Lines>805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Akande</dc:creator>
  <cp:keywords/>
  <dc:description/>
  <cp:lastModifiedBy>HP</cp:lastModifiedBy>
  <cp:revision>7</cp:revision>
  <dcterms:created xsi:type="dcterms:W3CDTF">2025-10-15T10:25:00Z</dcterms:created>
  <dcterms:modified xsi:type="dcterms:W3CDTF">2025-10-17T18:20:00Z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d92b339f-13ef-4c45-a05e-990c597733df</vt:lpwstr>
  </property>
</Properties>
</file>